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37" w:rsidRDefault="001054E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В Санкт-Петербурге и Ленинградской области 2,7 тыс. пенсий по инвалидности назначено в беззаявительном порядке с начала года</w:t>
      </w:r>
    </w:p>
    <w:p w:rsidR="00353137" w:rsidRDefault="001054E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26.05.2022</w:t>
      </w:r>
    </w:p>
    <w:p w:rsidR="00353137" w:rsidRDefault="001054E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этого года начал действовать беззаявительный</w:t>
      </w:r>
      <w:r>
        <w:rPr>
          <w:rFonts w:ascii="Tms Rmn" w:eastAsiaTheme="minorHAnsi" w:hAnsi="Tms Rmn" w:cs="Tms Rmn"/>
          <w:color w:val="000000"/>
          <w:lang w:eastAsia="en-US"/>
        </w:rPr>
        <w:t xml:space="preserve"> порядок оформления страховых и социальных пенсий по инвалидности. Теперь они назначаются по данным Федерального реестра инвалидов без дополнительных подтверждающих документов. С января выплаты в таком проактивном формате получили 2,7 тыс. инвалидов Санкт-</w:t>
      </w:r>
      <w:r>
        <w:rPr>
          <w:rFonts w:ascii="Tms Rmn" w:eastAsiaTheme="minorHAnsi" w:hAnsi="Tms Rmn" w:cs="Tms Rmn"/>
          <w:color w:val="000000"/>
          <w:lang w:eastAsia="en-US"/>
        </w:rPr>
        <w:t>Петербурга и Ленинградской области.</w:t>
      </w:r>
    </w:p>
    <w:p w:rsidR="00353137" w:rsidRDefault="001054E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инвалидности. После вынесения решения о назначении пенсии Пенсионный фонд в те</w:t>
      </w:r>
      <w:r>
        <w:rPr>
          <w:rFonts w:ascii="Tms Rmn" w:eastAsiaTheme="minorHAnsi" w:hAnsi="Tms Rmn" w:cs="Tms Rmn"/>
          <w:color w:val="000000"/>
          <w:lang w:eastAsia="en-US"/>
        </w:rPr>
        <w:t>чение 3 рабочих дней извещает об этом инвалида и направляет ему уведомление в личный кабинет на портале госуслуг или по почте, если учётной записи на портале нет.</w:t>
      </w:r>
    </w:p>
    <w:p w:rsidR="00353137" w:rsidRDefault="001054E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После назначения пенсии она выплачивается тем же способом, что и другие выплаты Пенсионного ф</w:t>
      </w:r>
      <w:r>
        <w:rPr>
          <w:rFonts w:ascii="Tms Rmn" w:eastAsiaTheme="minorHAnsi" w:hAnsi="Tms Rmn" w:cs="Tms Rmn"/>
          <w:color w:val="000000"/>
          <w:lang w:eastAsia="en-US"/>
        </w:rPr>
        <w:t>онда. Если раньше инвалид не получал никаких выплат, он может определить способ доставки пенсии онлайн через личный кабинет на портале госуслуг или на сайте фонда. Заявление также принимается в клиентских службах ПФР и в многофункциональных центрах.</w:t>
      </w:r>
    </w:p>
    <w:p w:rsidR="00353137" w:rsidRDefault="001054EE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Предос</w:t>
      </w:r>
      <w:r>
        <w:rPr>
          <w:rFonts w:ascii="Tms Rmn" w:eastAsiaTheme="minorHAnsi" w:hAnsi="Tms Rmn" w:cs="Tms Rmn"/>
          <w:color w:val="000000"/>
          <w:lang w:eastAsia="en-US"/>
        </w:rPr>
        <w:t>тавление госуслуг в проактивном формате (без личного обращения с заявлением и документами)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 </w:t>
      </w:r>
    </w:p>
    <w:p w:rsidR="00353137" w:rsidRDefault="00353137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353137" w:rsidRDefault="00353137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353137" w:rsidRDefault="001054EE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</w:t>
      </w:r>
      <w:r>
        <w:rPr>
          <w:rFonts w:asciiTheme="minorHAnsi" w:eastAsiaTheme="minorHAnsi" w:hAnsiTheme="minorHAnsi" w:cs="Tms Rmn"/>
          <w:color w:val="000000"/>
          <w:lang w:eastAsia="en-US"/>
        </w:rPr>
        <w:t xml:space="preserve"> ОПФР по СПб и ЛО</w:t>
      </w:r>
    </w:p>
    <w:sectPr w:rsidR="003531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37" w:rsidRDefault="001054EE">
      <w:r>
        <w:separator/>
      </w:r>
    </w:p>
  </w:endnote>
  <w:endnote w:type="continuationSeparator" w:id="0">
    <w:p w:rsidR="00353137" w:rsidRDefault="001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37" w:rsidRDefault="001054EE">
      <w:r>
        <w:separator/>
      </w:r>
    </w:p>
  </w:footnote>
  <w:footnote w:type="continuationSeparator" w:id="0">
    <w:p w:rsidR="00353137" w:rsidRDefault="0010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137"/>
    <w:rsid w:val="001054EE"/>
    <w:rsid w:val="003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5:docId w15:val="{890D3F4E-957E-4CD9-80F6-5A76C51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2022-05-26T12:10:00Z</dcterms:created>
  <dcterms:modified xsi:type="dcterms:W3CDTF">2022-05-26T12:10:00Z</dcterms:modified>
</cp:coreProperties>
</file>