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 w:firstLine="391" w:left="318"/>
        <w:jc w:val="both"/>
        <w:rPr>
          <w:color w:val="000000"/>
          <w:sz w:val="28"/>
        </w:rPr>
      </w:pPr>
      <w:r>
        <w:rPr>
          <w:sz w:val="28"/>
        </w:rPr>
        <w:t xml:space="preserve">                          </w:t>
      </w:r>
      <w:r>
        <w:rPr>
          <w:color w:val="000000"/>
          <w:sz w:val="28"/>
        </w:rPr>
        <w:t xml:space="preserve">                                             </w:t>
      </w: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V w:color="000000" w:sz="4" w:val="nil"/>
        </w:tblBorders>
        <w:tblLayout w:type="fixed"/>
      </w:tblPr>
      <w:tblGrid>
        <w:gridCol w:w="4655"/>
        <w:gridCol w:w="4700"/>
      </w:tblGrid>
      <w:tr>
        <w:trPr>
          <w:trHeight w:hRule="atLeast" w:val="2082"/>
        </w:trPr>
        <w:tc>
          <w:tcPr>
            <w:tcW w:type="dxa" w:w="465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2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color w:val="000000"/>
                <w:sz w:val="28"/>
              </w:rPr>
            </w:pPr>
          </w:p>
          <w:p w14:paraId="03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color w:val="000000"/>
                <w:sz w:val="28"/>
              </w:rPr>
            </w:pPr>
          </w:p>
          <w:p w14:paraId="04000000">
            <w:pPr>
              <w:tabs>
                <w:tab w:leader="none" w:pos="1709" w:val="left"/>
              </w:tabs>
              <w:ind/>
              <w:jc w:val="both"/>
              <w:rPr>
                <w:color w:val="000000"/>
                <w:sz w:val="28"/>
              </w:rPr>
            </w:pPr>
          </w:p>
          <w:p w14:paraId="05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color w:val="000000"/>
                <w:sz w:val="28"/>
              </w:rPr>
            </w:pPr>
          </w:p>
          <w:p w14:paraId="06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color w:val="000000"/>
                <w:sz w:val="28"/>
              </w:rPr>
            </w:pPr>
          </w:p>
          <w:p w14:paraId="07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color w:val="000000"/>
                <w:sz w:val="28"/>
              </w:rPr>
            </w:pPr>
          </w:p>
          <w:p w14:paraId="08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color w:val="000000"/>
                <w:sz w:val="28"/>
              </w:rPr>
            </w:pPr>
          </w:p>
          <w:p w14:paraId="09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470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A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</w:p>
          <w:p w14:paraId="0B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</w:p>
          <w:p w14:paraId="0C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Прокурору</w:t>
            </w:r>
            <w:r>
              <w:rPr>
                <w:color w:val="000000"/>
                <w:sz w:val="28"/>
              </w:rPr>
              <w:t xml:space="preserve"> Курортного района </w:t>
            </w:r>
          </w:p>
          <w:p w14:paraId="0D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</w:t>
            </w:r>
            <w:r>
              <w:rPr>
                <w:color w:val="000000"/>
                <w:sz w:val="28"/>
              </w:rPr>
              <w:t>Санкт-Петербурга</w:t>
            </w:r>
          </w:p>
          <w:p w14:paraId="0E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</w:p>
          <w:p w14:paraId="0F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старшему с</w:t>
            </w:r>
            <w:r>
              <w:rPr>
                <w:color w:val="000000"/>
                <w:sz w:val="28"/>
              </w:rPr>
              <w:t>оветнику юстиции</w:t>
            </w:r>
          </w:p>
          <w:p w14:paraId="10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</w:p>
          <w:p w14:paraId="11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Степанову В.В.  </w:t>
            </w:r>
          </w:p>
          <w:p w14:paraId="12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</w:p>
          <w:p w14:paraId="13000000">
            <w:pPr>
              <w:spacing w:line="240" w:lineRule="exact"/>
              <w:ind w:firstLine="0" w:left="318"/>
              <w:jc w:val="both"/>
              <w:rPr>
                <w:color w:val="000000"/>
                <w:sz w:val="28"/>
              </w:rPr>
            </w:pPr>
          </w:p>
          <w:p w14:paraId="14000000">
            <w:pPr>
              <w:spacing w:line="240" w:lineRule="exact"/>
              <w:ind w:firstLine="0" w:left="318"/>
              <w:rPr>
                <w:color w:val="000000"/>
                <w:sz w:val="28"/>
              </w:rPr>
            </w:pPr>
          </w:p>
        </w:tc>
      </w:tr>
    </w:tbl>
    <w:p w14:paraId="15000000">
      <w:pPr>
        <w:spacing w:line="240" w:lineRule="exact"/>
        <w:ind/>
        <w:contextualSpacing w:val="1"/>
        <w:rPr>
          <w:color w:val="000000"/>
          <w:sz w:val="28"/>
        </w:rPr>
      </w:pPr>
    </w:p>
    <w:p w14:paraId="16000000">
      <w:pPr>
        <w:spacing w:line="240" w:lineRule="exact"/>
        <w:ind/>
        <w:contextualSpacing w:val="1"/>
        <w:rPr>
          <w:color w:val="000000"/>
          <w:sz w:val="28"/>
        </w:rPr>
      </w:pPr>
    </w:p>
    <w:p w14:paraId="17000000">
      <w:pPr>
        <w:spacing w:line="240" w:lineRule="exact"/>
        <w:ind/>
        <w:contextualSpacing w:val="1"/>
        <w:rPr>
          <w:color w:val="000000"/>
          <w:sz w:val="28"/>
        </w:rPr>
      </w:pPr>
    </w:p>
    <w:p w14:paraId="18000000">
      <w:pPr>
        <w:spacing w:line="240" w:lineRule="exact"/>
        <w:ind/>
        <w:contextualSpacing w:val="1"/>
        <w:rPr>
          <w:color w:val="000000"/>
          <w:sz w:val="28"/>
        </w:rPr>
      </w:pPr>
    </w:p>
    <w:p w14:paraId="19000000">
      <w:pPr>
        <w:spacing w:line="240" w:lineRule="exact"/>
        <w:ind/>
        <w:contextualSpacing w:val="1"/>
        <w:rPr>
          <w:b w:val="1"/>
          <w:color w:val="000000"/>
          <w:sz w:val="28"/>
        </w:rPr>
      </w:pPr>
    </w:p>
    <w:p w14:paraId="1A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ИНФОРМАЦИЯ ДЛЯ РАЗМЕЩЕНИЯ В СМИ</w:t>
      </w:r>
    </w:p>
    <w:p w14:paraId="1B000000">
      <w:pPr>
        <w:spacing w:line="240" w:lineRule="exact"/>
        <w:ind/>
        <w:contextualSpacing w:val="1"/>
        <w:rPr>
          <w:color w:val="000000"/>
          <w:sz w:val="28"/>
        </w:rPr>
      </w:pPr>
    </w:p>
    <w:p w14:paraId="1C000000">
      <w:pPr>
        <w:ind w:firstLine="709" w:left="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«Правила наследования оружия»</w:t>
      </w:r>
    </w:p>
    <w:p w14:paraId="1D000000">
      <w:pPr>
        <w:ind w:firstLine="709" w:left="0"/>
        <w:jc w:val="center"/>
        <w:rPr>
          <w:b w:val="1"/>
          <w:color w:val="000000"/>
          <w:sz w:val="28"/>
        </w:rPr>
      </w:pPr>
    </w:p>
    <w:p w14:paraId="1E000000">
      <w:pPr>
        <w:spacing w:after="0" w:line="240" w:lineRule="auto"/>
        <w:ind w:firstLine="680"/>
        <w:jc w:val="both"/>
        <w:rPr>
          <w:b w:val="0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Оружие относится к предметам, оборот и наследование которых имеют жесткие ограничения в законодательстве. </w:t>
      </w:r>
      <w:r>
        <w:rPr>
          <w:rFonts w:ascii="Times New Roman" w:hAnsi="Times New Roman"/>
          <w:color w:val="333333"/>
          <w:sz w:val="28"/>
        </w:rPr>
        <w:t xml:space="preserve">Приобрести оружие, в том числе при вступлении в права наследования, в РФ можно только при наличии лицензии на его хранение. </w:t>
      </w:r>
    </w:p>
    <w:p w14:paraId="1F000000">
      <w:pPr>
        <w:spacing w:after="0" w:line="240" w:lineRule="auto"/>
        <w:ind w:firstLine="680"/>
        <w:jc w:val="both"/>
        <w:rPr>
          <w:b w:val="0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Так, согласно ст. 20 ФЗ «Об оружии» </w:t>
      </w:r>
      <w:r>
        <w:rPr>
          <w:b w:val="0"/>
          <w:sz w:val="28"/>
        </w:rPr>
        <w:t>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изымается для ответственного хранения федеральным органом исполнительной власти, уполномоченным в сфере оборота оружия, или его территориальным органом либо органами внутренних дел.</w:t>
      </w:r>
    </w:p>
    <w:p w14:paraId="20000000">
      <w:pPr>
        <w:spacing w:after="0" w:line="240" w:lineRule="auto"/>
        <w:ind w:firstLine="68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В обязанности нотариуса, занимающегося оформлением наследства, входит передача информации о данном виде оружия в правоохранительные органы. </w:t>
      </w:r>
      <w:r>
        <w:rPr>
          <w:rFonts w:ascii="Times New Roman" w:hAnsi="Times New Roman"/>
          <w:color w:val="333333"/>
          <w:sz w:val="28"/>
        </w:rPr>
        <w:t>До получения разре</w:t>
      </w:r>
      <w:r>
        <w:rPr>
          <w:rFonts w:ascii="Times New Roman" w:hAnsi="Times New Roman"/>
          <w:color w:val="333333"/>
          <w:sz w:val="28"/>
        </w:rPr>
        <w:t>шительной документации оружие может храниться только в полиции.</w:t>
      </w:r>
      <w:r>
        <w:rPr>
          <w:rFonts w:ascii="Times New Roman" w:hAnsi="Times New Roman"/>
          <w:b w:val="0"/>
          <w:color w:val="333333"/>
          <w:sz w:val="28"/>
        </w:rPr>
        <w:t xml:space="preserve"> Если у потенциального наследника нет разрешения и лицензии, то в его интересах сразу же сдать оружие в полицию вместе с боеприпасами (патронами), чтобы не быть привлеченным к уголовной ответственности за его незаконное хранение. </w:t>
      </w:r>
    </w:p>
    <w:p w14:paraId="21000000">
      <w:pPr>
        <w:spacing w:after="0" w:line="240" w:lineRule="auto"/>
        <w:ind w:firstLine="68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Полиция обязана хранить наследуемое оружие не более 12 месяцев с даты смерти прежнего хозяина. Если до истечения этого срока наследник не предъявит полиции свидетельство, лицензию и разрешение, то указанное имущество подлежит реализации в соответствии с нормами Гражданского кодекса РФ.</w:t>
      </w:r>
    </w:p>
    <w:p w14:paraId="22000000">
      <w:pPr>
        <w:spacing w:after="0" w:before="0" w:line="240" w:lineRule="auto"/>
        <w:ind w:firstLine="0" w:left="0" w:right="0"/>
        <w:jc w:val="both"/>
        <w:rPr>
          <w:b w:val="0"/>
          <w:sz w:val="28"/>
        </w:rPr>
      </w:pPr>
      <w:bookmarkStart w:id="1" w:name="_GoBack"/>
      <w:bookmarkEnd w:id="1"/>
    </w:p>
    <w:p w14:paraId="23000000">
      <w:pPr>
        <w:spacing w:line="240" w:lineRule="exact"/>
        <w:ind/>
        <w:jc w:val="both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 xml:space="preserve">омощник прокурора района                             </w:t>
      </w:r>
      <w:r>
        <w:rPr>
          <w:color w:val="000000"/>
          <w:sz w:val="28"/>
        </w:rPr>
        <w:t xml:space="preserve">                               Е.В. Шо</w:t>
      </w:r>
      <w:r>
        <w:rPr>
          <w:sz w:val="28"/>
        </w:rPr>
        <w:t>нина</w:t>
      </w:r>
    </w:p>
    <w:p w14:paraId="24000000">
      <w:pPr>
        <w:rPr>
          <w:sz w:val="20"/>
        </w:rPr>
      </w:pPr>
    </w:p>
    <w:sectPr>
      <w:pgSz w:h="16838" w:orient="portrait" w:w="11906"/>
      <w:pgMar w:bottom="0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header"/>
    <w:basedOn w:val="Style_2"/>
    <w:link w:val="Style_9_ch"/>
    <w:pPr>
      <w:tabs>
        <w:tab w:leader="none" w:pos="4677" w:val="center"/>
        <w:tab w:leader="none" w:pos="9355" w:val="right"/>
      </w:tabs>
      <w:ind/>
    </w:pPr>
  </w:style>
  <w:style w:styleId="Style_9_ch" w:type="character">
    <w:name w:val="header"/>
    <w:basedOn w:val="Style_2_ch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footer"/>
    <w:basedOn w:val="Style_2"/>
    <w:link w:val="Style_14_ch"/>
    <w:pPr>
      <w:tabs>
        <w:tab w:leader="none" w:pos="4677" w:val="center"/>
        <w:tab w:leader="none" w:pos="9355" w:val="right"/>
      </w:tabs>
      <w:ind/>
    </w:pPr>
  </w:style>
  <w:style w:styleId="Style_14_ch" w:type="character">
    <w:name w:val="footer"/>
    <w:basedOn w:val="Style_2_ch"/>
    <w:link w:val="Style_14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List Paragraph"/>
    <w:basedOn w:val="Style_2"/>
    <w:link w:val="Style_19_ch"/>
    <w:pPr>
      <w:ind w:firstLine="0" w:left="720"/>
      <w:contextualSpacing w:val="1"/>
    </w:pPr>
  </w:style>
  <w:style w:styleId="Style_19_ch" w:type="character">
    <w:name w:val="List Paragraph"/>
    <w:basedOn w:val="Style_2_ch"/>
    <w:link w:val="Style_19"/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Normal (Web)"/>
    <w:basedOn w:val="Style_2"/>
    <w:link w:val="Style_23_ch"/>
    <w:pPr>
      <w:spacing w:after="150"/>
      <w:ind/>
    </w:pPr>
  </w:style>
  <w:style w:styleId="Style_23_ch" w:type="character">
    <w:name w:val="Normal (Web)"/>
    <w:basedOn w:val="Style_2_ch"/>
    <w:link w:val="Style_23"/>
  </w:style>
  <w:style w:styleId="Style_24" w:type="paragraph">
    <w:name w:val="ConsNonformat"/>
    <w:link w:val="Style_2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4_ch" w:type="character">
    <w:name w:val="ConsNonformat"/>
    <w:link w:val="Style_24"/>
    <w:rPr>
      <w:rFonts w:ascii="Courier New" w:hAnsi="Courier New"/>
      <w:sz w:val="20"/>
    </w:rPr>
  </w:style>
  <w:style w:styleId="Style_25" w:type="paragraph">
    <w:name w:val="Subtitle"/>
    <w:next w:val="Style_2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2025-09-11T14:53:20Z</dcterms:modified>
</cp:coreProperties>
</file>