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exact"/>
        <w:ind/>
        <w:jc w:val="right"/>
        <w:rPr>
          <w:sz w:val="28"/>
        </w:rPr>
      </w:pPr>
    </w:p>
    <w:p w14:paraId="02000000">
      <w:pPr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</w:t>
      </w:r>
      <w:r>
        <w:rPr>
          <w:sz w:val="28"/>
        </w:rPr>
        <w:t xml:space="preserve">                 </w:t>
      </w:r>
      <w:r>
        <w:rPr>
          <w:sz w:val="28"/>
        </w:rPr>
        <w:t xml:space="preserve">                                              </w:t>
      </w:r>
      <w:r>
        <w:rPr>
          <w:sz w:val="28"/>
        </w:rPr>
        <w:t>П</w:t>
      </w:r>
      <w:r>
        <w:rPr>
          <w:sz w:val="28"/>
        </w:rPr>
        <w:t>рокурор</w:t>
      </w:r>
      <w:r>
        <w:rPr>
          <w:sz w:val="28"/>
        </w:rPr>
        <w:t>у</w:t>
      </w:r>
      <w:r>
        <w:rPr>
          <w:sz w:val="28"/>
        </w:rPr>
        <w:t xml:space="preserve"> Курортного района</w:t>
      </w:r>
    </w:p>
    <w:p w14:paraId="03000000">
      <w:pPr>
        <w:spacing w:line="240" w:lineRule="exact"/>
        <w:ind/>
        <w:rPr>
          <w:sz w:val="28"/>
        </w:rPr>
      </w:pPr>
      <w:r>
        <w:rPr>
          <w:sz w:val="28"/>
        </w:rPr>
        <w:t xml:space="preserve">                                                                    </w:t>
      </w:r>
      <w:r>
        <w:rPr>
          <w:sz w:val="28"/>
        </w:rPr>
        <w:t xml:space="preserve">                                   </w:t>
      </w:r>
      <w:r>
        <w:rPr>
          <w:sz w:val="28"/>
        </w:rPr>
        <w:t xml:space="preserve">   г. </w:t>
      </w:r>
      <w:r>
        <w:rPr>
          <w:sz w:val="28"/>
        </w:rPr>
        <w:t>Санкт-Петербурга</w:t>
      </w:r>
    </w:p>
    <w:p w14:paraId="04000000">
      <w:pPr>
        <w:spacing w:line="240" w:lineRule="exact"/>
        <w:ind/>
        <w:rPr>
          <w:sz w:val="28"/>
        </w:rPr>
      </w:pPr>
    </w:p>
    <w:p w14:paraId="05000000">
      <w:pPr>
        <w:spacing w:line="240" w:lineRule="exact"/>
        <w:ind w:firstLine="0" w:left="4956"/>
        <w:rPr>
          <w:sz w:val="28"/>
        </w:rPr>
      </w:pPr>
      <w:r>
        <w:rPr>
          <w:sz w:val="28"/>
        </w:rPr>
        <w:t xml:space="preserve">                   старшему </w:t>
      </w:r>
      <w:r>
        <w:rPr>
          <w:sz w:val="28"/>
        </w:rPr>
        <w:t>советнику юстиции</w:t>
      </w:r>
    </w:p>
    <w:p w14:paraId="06000000">
      <w:pPr>
        <w:spacing w:line="240" w:lineRule="exact"/>
        <w:ind w:firstLine="0" w:left="4956"/>
        <w:rPr>
          <w:sz w:val="28"/>
        </w:rPr>
      </w:pPr>
    </w:p>
    <w:p w14:paraId="07000000">
      <w:pPr>
        <w:spacing w:line="240" w:lineRule="exact"/>
        <w:ind w:firstLine="0" w:left="4956"/>
        <w:rPr>
          <w:sz w:val="28"/>
        </w:rPr>
      </w:pPr>
      <w:r>
        <w:rPr>
          <w:sz w:val="28"/>
        </w:rPr>
        <w:t xml:space="preserve">                                            </w:t>
      </w:r>
      <w:bookmarkStart w:id="1" w:name="_GoBack"/>
      <w:bookmarkEnd w:id="1"/>
      <w:r>
        <w:rPr>
          <w:sz w:val="28"/>
        </w:rPr>
        <w:t>Степанову В.В.</w:t>
      </w:r>
    </w:p>
    <w:p w14:paraId="08000000">
      <w:pPr>
        <w:spacing w:line="240" w:lineRule="exact"/>
        <w:ind/>
        <w:contextualSpacing w:val="1"/>
        <w:rPr>
          <w:sz w:val="28"/>
        </w:rPr>
      </w:pPr>
    </w:p>
    <w:p w14:paraId="09000000">
      <w:pPr>
        <w:spacing w:line="240" w:lineRule="exact"/>
        <w:ind/>
        <w:contextualSpacing w:val="1"/>
        <w:rPr>
          <w:sz w:val="28"/>
        </w:rPr>
      </w:pPr>
    </w:p>
    <w:p w14:paraId="0A000000">
      <w:pPr>
        <w:spacing w:line="240" w:lineRule="exact"/>
        <w:ind/>
        <w:contextualSpacing w:val="1"/>
        <w:rPr>
          <w:sz w:val="28"/>
        </w:rPr>
      </w:pPr>
    </w:p>
    <w:p w14:paraId="0B000000">
      <w:pPr>
        <w:spacing w:line="240" w:lineRule="exact"/>
        <w:ind/>
        <w:contextualSpacing w:val="1"/>
        <w:rPr>
          <w:sz w:val="28"/>
        </w:rPr>
      </w:pPr>
    </w:p>
    <w:p w14:paraId="0C000000">
      <w:pPr>
        <w:spacing w:line="240" w:lineRule="exact"/>
        <w:ind/>
        <w:contextualSpacing w:val="1"/>
        <w:rPr>
          <w:sz w:val="28"/>
        </w:rPr>
      </w:pPr>
    </w:p>
    <w:p w14:paraId="0D000000">
      <w:pPr>
        <w:spacing w:line="240" w:lineRule="exact"/>
        <w:ind/>
        <w:contextualSpacing w:val="1"/>
        <w:rPr>
          <w:sz w:val="28"/>
        </w:rPr>
      </w:pPr>
    </w:p>
    <w:p w14:paraId="0E000000">
      <w:pPr>
        <w:spacing w:line="240" w:lineRule="exact"/>
        <w:ind/>
        <w:contextualSpacing w:val="1"/>
        <w:rPr>
          <w:sz w:val="28"/>
        </w:rPr>
      </w:pPr>
    </w:p>
    <w:p w14:paraId="0F000000">
      <w:pPr>
        <w:spacing w:line="240" w:lineRule="exact"/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ИНФОРМАЦИЯ ДЛЯ РАЗМЕЩЕНИЯ В СМИ</w:t>
      </w:r>
    </w:p>
    <w:p w14:paraId="10000000">
      <w:pPr>
        <w:spacing w:line="240" w:lineRule="exact"/>
        <w:ind/>
        <w:jc w:val="both"/>
        <w:rPr>
          <w:sz w:val="28"/>
        </w:rPr>
      </w:pPr>
    </w:p>
    <w:p w14:paraId="11000000">
      <w:pPr>
        <w:ind/>
        <w:jc w:val="center"/>
        <w:rPr>
          <w:sz w:val="28"/>
        </w:rPr>
      </w:pPr>
      <w:r>
        <w:rPr>
          <w:sz w:val="28"/>
        </w:rPr>
        <w:t>«</w:t>
      </w:r>
      <w:r>
        <w:rPr>
          <w:sz w:val="28"/>
        </w:rPr>
        <w:t>Новый закон для дачников: что можно, а что нельзя с 1 сентября</w:t>
      </w:r>
      <w:r>
        <w:rPr>
          <w:sz w:val="28"/>
        </w:rPr>
        <w:t>»</w:t>
      </w:r>
    </w:p>
    <w:p w14:paraId="12000000">
      <w:pPr>
        <w:ind/>
        <w:jc w:val="both"/>
        <w:rPr>
          <w:sz w:val="28"/>
        </w:rPr>
      </w:pPr>
    </w:p>
    <w:p w14:paraId="13000000">
      <w:pPr>
        <w:rPr>
          <w:sz w:val="28"/>
        </w:rPr>
      </w:pPr>
    </w:p>
    <w:p w14:paraId="14000000">
      <w:pPr>
        <w:ind w:firstLine="850" w:left="0"/>
        <w:jc w:val="both"/>
        <w:rPr>
          <w:rFonts w:ascii="Arial" w:hAnsi="Arial"/>
          <w:b w:val="1"/>
          <w:sz w:val="24"/>
        </w:rPr>
      </w:pPr>
      <w:r>
        <w:rPr>
          <w:sz w:val="28"/>
        </w:rPr>
        <w:t xml:space="preserve">С 1 сентября вступил в силу </w:t>
      </w:r>
      <w:r>
        <w:rPr>
          <w:sz w:val="28"/>
        </w:rPr>
        <w:t>Федеральный закон от 31.07.2025 № 353-ФЗ 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>
        <w:rPr>
          <w:sz w:val="28"/>
        </w:rPr>
        <w:t>, изменения затронули использование садовых участков. Теперь они предназначены исключительно для отдыха и ведения хозяйства, а не для ведения бизнеса.</w:t>
      </w:r>
    </w:p>
    <w:p w14:paraId="15000000">
      <w:pPr>
        <w:ind w:firstLine="850" w:left="0"/>
        <w:jc w:val="both"/>
        <w:rPr>
          <w:sz w:val="28"/>
        </w:rPr>
      </w:pPr>
      <w:r>
        <w:rPr>
          <w:sz w:val="28"/>
        </w:rPr>
        <w:t>Что запрещено:</w:t>
      </w:r>
    </w:p>
    <w:p w14:paraId="16000000">
      <w:pPr>
        <w:ind w:firstLine="850" w:left="0"/>
        <w:jc w:val="both"/>
        <w:rPr>
          <w:sz w:val="28"/>
        </w:rPr>
      </w:pPr>
      <w:r>
        <w:rPr>
          <w:sz w:val="28"/>
        </w:rPr>
        <w:t>- Устраивать хостелы, мастерские, склады, питомники, пасеки или теплицы для коммерческой продажи.</w:t>
      </w:r>
    </w:p>
    <w:p w14:paraId="17000000">
      <w:pPr>
        <w:ind w:firstLine="850" w:left="0"/>
        <w:jc w:val="both"/>
        <w:rPr>
          <w:sz w:val="28"/>
        </w:rPr>
      </w:pPr>
      <w:r>
        <w:rPr>
          <w:sz w:val="28"/>
        </w:rPr>
        <w:t>- Сдавать построенные объекты в аренду как коммерческую недвижимость.</w:t>
      </w:r>
    </w:p>
    <w:p w14:paraId="18000000">
      <w:pPr>
        <w:ind w:firstLine="850" w:left="0"/>
        <w:jc w:val="both"/>
        <w:rPr>
          <w:sz w:val="28"/>
        </w:rPr>
      </w:pPr>
      <w:r>
        <w:rPr>
          <w:sz w:val="28"/>
        </w:rPr>
        <w:t>- Продавать участок отдельно от дома или гаража, если это делает невозможным его дальнейшее использование по назначению.</w:t>
      </w:r>
    </w:p>
    <w:p w14:paraId="19000000">
      <w:pPr>
        <w:ind w:firstLine="850" w:left="0"/>
        <w:jc w:val="both"/>
        <w:rPr>
          <w:sz w:val="28"/>
        </w:rPr>
      </w:pPr>
      <w:r>
        <w:rPr>
          <w:sz w:val="28"/>
        </w:rPr>
        <w:t>Что разрешено:</w:t>
      </w:r>
    </w:p>
    <w:p w14:paraId="1A000000">
      <w:pPr>
        <w:ind w:firstLine="850" w:left="0"/>
        <w:jc w:val="both"/>
        <w:rPr>
          <w:sz w:val="28"/>
        </w:rPr>
      </w:pPr>
      <w:r>
        <w:rPr>
          <w:sz w:val="28"/>
        </w:rPr>
        <w:t>- Выращивать овощи, фрукты и ягоды для собственного потребления.</w:t>
      </w:r>
    </w:p>
    <w:p w14:paraId="1B000000">
      <w:pPr>
        <w:ind w:firstLine="850" w:left="0"/>
        <w:jc w:val="both"/>
        <w:rPr>
          <w:sz w:val="28"/>
        </w:rPr>
      </w:pPr>
      <w:r>
        <w:rPr>
          <w:sz w:val="28"/>
        </w:rPr>
        <w:t>- Держать кур и кроликов для личны</w:t>
      </w:r>
      <w:r>
        <w:rPr>
          <w:sz w:val="28"/>
        </w:rPr>
        <w:t>х нужд.</w:t>
      </w:r>
    </w:p>
    <w:p w14:paraId="1C000000">
      <w:pPr>
        <w:ind w:firstLine="850" w:left="0"/>
        <w:jc w:val="both"/>
        <w:rPr>
          <w:sz w:val="28"/>
        </w:rPr>
      </w:pPr>
      <w:r>
        <w:rPr>
          <w:sz w:val="28"/>
        </w:rPr>
        <w:t>- Продавать излишки урожая без уплаты налогов, если участок меньше 50 соток и на нём нет наёмных работников.</w:t>
      </w:r>
    </w:p>
    <w:p w14:paraId="1D000000">
      <w:pPr>
        <w:ind w:firstLine="850" w:left="0"/>
        <w:jc w:val="both"/>
        <w:rPr>
          <w:sz w:val="28"/>
        </w:rPr>
      </w:pPr>
      <w:r>
        <w:rPr>
          <w:sz w:val="28"/>
        </w:rPr>
        <w:t>- Строить дом, гараж, колодец и другие хозяйственные постройки.</w:t>
      </w:r>
    </w:p>
    <w:p w14:paraId="1E000000">
      <w:pPr>
        <w:ind w:firstLine="850" w:left="0"/>
        <w:jc w:val="both"/>
        <w:rPr>
          <w:sz w:val="28"/>
        </w:rPr>
      </w:pPr>
      <w:r>
        <w:rPr>
          <w:sz w:val="28"/>
        </w:rPr>
        <w:t>Важно, что животные не должны создавать неудобств соседям. Если курятник издает шум или неприятный запах, владельца могут оштрафовать. Разведение животных на продажу разрешается только на землях, предназначенных для фермерских хозяйств.</w:t>
      </w:r>
    </w:p>
    <w:p w14:paraId="1F000000">
      <w:pPr>
        <w:ind w:firstLine="850" w:left="0"/>
        <w:jc w:val="both"/>
        <w:rPr>
          <w:sz w:val="28"/>
        </w:rPr>
      </w:pPr>
      <w:r>
        <w:rPr>
          <w:sz w:val="28"/>
        </w:rPr>
        <w:t>Таким образом, дачная жизнь возвращается к отдыху и выращиванию собственных продуктов. Держать кур можно, но открывать хостел или развивать бизнес на грядках теперь нельзя.</w:t>
      </w:r>
    </w:p>
    <w:p w14:paraId="20000000">
      <w:pPr>
        <w:ind/>
        <w:jc w:val="both"/>
        <w:rPr>
          <w:rFonts w:ascii="Times New Roman" w:hAnsi="Times New Roman"/>
          <w:sz w:val="28"/>
        </w:rPr>
      </w:pPr>
    </w:p>
    <w:p w14:paraId="21000000">
      <w:pPr>
        <w:spacing w:line="240" w:lineRule="exact"/>
        <w:ind/>
        <w:jc w:val="both"/>
        <w:rPr>
          <w:sz w:val="28"/>
        </w:rPr>
      </w:pPr>
    </w:p>
    <w:p w14:paraId="22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Помощник прокурора</w:t>
      </w:r>
      <w:r>
        <w:rPr>
          <w:sz w:val="28"/>
        </w:rPr>
        <w:t xml:space="preserve"> района</w:t>
      </w:r>
    </w:p>
    <w:p w14:paraId="23000000">
      <w:pPr>
        <w:spacing w:line="240" w:lineRule="exact"/>
        <w:ind/>
        <w:jc w:val="both"/>
        <w:rPr>
          <w:sz w:val="28"/>
        </w:rPr>
      </w:pPr>
    </w:p>
    <w:p w14:paraId="24000000">
      <w:pPr>
        <w:spacing w:line="240" w:lineRule="exact"/>
        <w:ind/>
        <w:jc w:val="both"/>
        <w:rPr>
          <w:sz w:val="28"/>
        </w:rPr>
      </w:pPr>
      <w:r>
        <w:rPr>
          <w:sz w:val="28"/>
        </w:rPr>
        <w:t>юрист 3 класса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                                              </w:t>
      </w:r>
      <w:r>
        <w:rPr>
          <w:sz w:val="28"/>
        </w:rPr>
        <w:t xml:space="preserve">        </w:t>
      </w:r>
      <w:r>
        <w:rPr>
          <w:sz w:val="28"/>
        </w:rPr>
        <w:t xml:space="preserve">Ю.Е. Грибанова </w:t>
      </w: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footer"/>
    <w:basedOn w:val="Style_1"/>
    <w:link w:val="Style_8_ch"/>
    <w:pPr>
      <w:tabs>
        <w:tab w:leader="none" w:pos="4677" w:val="center"/>
        <w:tab w:leader="none" w:pos="9355" w:val="right"/>
      </w:tabs>
      <w:ind/>
    </w:pPr>
  </w:style>
  <w:style w:styleId="Style_8_ch" w:type="character">
    <w:name w:val="footer"/>
    <w:basedOn w:val="Style_1_ch"/>
    <w:link w:val="Style_8"/>
  </w:style>
  <w:style w:styleId="Style_9" w:type="paragraph">
    <w:name w:val="header"/>
    <w:basedOn w:val="Style_1"/>
    <w:link w:val="Style_9_ch"/>
    <w:pPr>
      <w:tabs>
        <w:tab w:leader="none" w:pos="4677" w:val="center"/>
        <w:tab w:leader="none" w:pos="9355" w:val="right"/>
      </w:tabs>
      <w:ind/>
    </w:pPr>
  </w:style>
  <w:style w:styleId="Style_9_ch" w:type="character">
    <w:name w:val="header"/>
    <w:basedOn w:val="Style_1_ch"/>
    <w:link w:val="Style_9"/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List Paragraph"/>
    <w:basedOn w:val="Style_1"/>
    <w:link w:val="Style_13_ch"/>
    <w:pPr>
      <w:ind w:firstLine="0" w:left="720"/>
      <w:contextualSpacing w:val="1"/>
    </w:pPr>
  </w:style>
  <w:style w:styleId="Style_13_ch" w:type="character">
    <w:name w:val="List Paragraph"/>
    <w:basedOn w:val="Style_1_ch"/>
    <w:link w:val="Style_13"/>
  </w:style>
  <w:style w:styleId="Style_14" w:type="paragraph">
    <w:name w:val="Hyperlink"/>
    <w:basedOn w:val="Style_15"/>
    <w:link w:val="Style_14_ch"/>
    <w:rPr>
      <w:color w:themeColor="hyperlink" w:val="0000FF"/>
      <w:u w:val="single"/>
    </w:rPr>
  </w:style>
  <w:style w:styleId="Style_14_ch" w:type="character">
    <w:name w:val="Hyperlink"/>
    <w:basedOn w:val="Style_15_ch"/>
    <w:link w:val="Style_14"/>
    <w:rPr>
      <w:color w:themeColor="hyperlink"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0" w:type="paragraph">
    <w:name w:val="Unresolved Mention"/>
    <w:basedOn w:val="Style_15"/>
    <w:link w:val="Style_20_ch"/>
    <w:rPr>
      <w:color w:val="605E5C"/>
      <w:shd w:fill="E1DFDD" w:val="clear"/>
    </w:rPr>
  </w:style>
  <w:style w:styleId="Style_20_ch" w:type="character">
    <w:name w:val="Unresolved Mention"/>
    <w:basedOn w:val="Style_15_ch"/>
    <w:link w:val="Style_20"/>
    <w:rPr>
      <w:color w:val="605E5C"/>
      <w:shd w:fill="E1DFDD" w:val="clear"/>
    </w:rPr>
  </w:style>
  <w:style w:styleId="Style_21" w:type="paragraph">
    <w:name w:val="toc 8"/>
    <w:next w:val="Style_1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1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Normal (Web)"/>
    <w:basedOn w:val="Style_1"/>
    <w:link w:val="Style_23_ch"/>
    <w:pPr>
      <w:spacing w:after="150"/>
      <w:ind/>
    </w:pPr>
  </w:style>
  <w:style w:styleId="Style_23_ch" w:type="character">
    <w:name w:val="Normal (Web)"/>
    <w:basedOn w:val="Style_1_ch"/>
    <w:link w:val="Style_23"/>
  </w:style>
  <w:style w:styleId="Style_24" w:type="paragraph">
    <w:name w:val="Subtitle"/>
    <w:next w:val="Style_1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2025-09-19T08:58:56Z</dcterms:modified>
</cp:coreProperties>
</file>