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spacing w:line="240" w:lineRule="exact"/>
        <w:ind w:firstLine="391" w:left="318"/>
        <w:jc w:val="both"/>
        <w:rPr>
          <w:sz w:val="28"/>
        </w:rPr>
      </w:pPr>
      <w:r>
        <w:rPr>
          <w:sz w:val="28"/>
        </w:rPr>
        <w:t xml:space="preserve">                                                                       </w:t>
      </w:r>
    </w:p>
    <w:tbl>
      <w:tblPr>
        <w:tblStyle w:val="Style_1"/>
        <w:tblW w:type="auto" w:w="0"/>
        <w:tblBorders>
          <w:top w:color="000000" w:val="nil"/>
          <w:left w:color="000000" w:val="nil"/>
          <w:bottom w:color="000000" w:val="nil"/>
          <w:right w:color="000000" w:val="nil"/>
          <w:insideV w:color="000000" w:val="nil"/>
        </w:tblBorders>
        <w:tblLayout w:type="fixed"/>
      </w:tblPr>
      <w:tblGrid>
        <w:gridCol w:w="4655"/>
        <w:gridCol w:w="4700"/>
      </w:tblGrid>
      <w:tr>
        <w:trPr>
          <w:trHeight w:hRule="atLeast" w:val="2082"/>
        </w:trPr>
        <w:tc>
          <w:tcPr>
            <w:tcW w:type="dxa" w:w="4655"/>
            <w:tcBorders>
              <w:top w:color="000000" w:val="nil"/>
              <w:left w:color="000000" w:val="nil"/>
              <w:bottom w:color="000000" w:val="nil"/>
              <w:right w:color="000000" w:val="nil"/>
            </w:tcBorders>
          </w:tcPr>
          <w:p w14:paraId="02000000">
            <w:pPr>
              <w:tabs>
                <w:tab w:leader="none" w:pos="709" w:val="left"/>
                <w:tab w:leader="none" w:pos="2282" w:val="left"/>
              </w:tabs>
              <w:ind/>
              <w:jc w:val="both"/>
              <w:rPr>
                <w:sz w:val="28"/>
              </w:rPr>
            </w:pPr>
          </w:p>
          <w:p w14:paraId="03000000">
            <w:pPr>
              <w:tabs>
                <w:tab w:leader="none" w:pos="709" w:val="left"/>
                <w:tab w:leader="none" w:pos="2282" w:val="left"/>
              </w:tabs>
              <w:ind/>
              <w:jc w:val="both"/>
              <w:rPr>
                <w:sz w:val="28"/>
              </w:rPr>
            </w:pPr>
          </w:p>
          <w:p w14:paraId="04000000">
            <w:pPr>
              <w:tabs>
                <w:tab w:leader="none" w:pos="1709" w:val="left"/>
              </w:tabs>
              <w:ind/>
              <w:jc w:val="both"/>
              <w:rPr>
                <w:sz w:val="28"/>
              </w:rPr>
            </w:pPr>
          </w:p>
          <w:p w14:paraId="05000000">
            <w:pPr>
              <w:tabs>
                <w:tab w:leader="none" w:pos="709" w:val="left"/>
                <w:tab w:leader="none" w:pos="2282" w:val="left"/>
              </w:tabs>
              <w:ind/>
              <w:jc w:val="both"/>
              <w:rPr>
                <w:sz w:val="28"/>
              </w:rPr>
            </w:pPr>
          </w:p>
          <w:p w14:paraId="06000000">
            <w:pPr>
              <w:tabs>
                <w:tab w:leader="none" w:pos="709" w:val="left"/>
                <w:tab w:leader="none" w:pos="2282" w:val="left"/>
              </w:tabs>
              <w:ind/>
              <w:jc w:val="both"/>
              <w:rPr>
                <w:sz w:val="28"/>
              </w:rPr>
            </w:pPr>
          </w:p>
          <w:p w14:paraId="07000000">
            <w:pPr>
              <w:tabs>
                <w:tab w:leader="none" w:pos="709" w:val="left"/>
                <w:tab w:leader="none" w:pos="2282" w:val="left"/>
              </w:tabs>
              <w:ind/>
              <w:jc w:val="both"/>
              <w:rPr>
                <w:sz w:val="28"/>
              </w:rPr>
            </w:pPr>
          </w:p>
          <w:p w14:paraId="08000000">
            <w:pPr>
              <w:tabs>
                <w:tab w:leader="none" w:pos="709" w:val="left"/>
                <w:tab w:leader="none" w:pos="2282" w:val="left"/>
              </w:tabs>
              <w:ind/>
              <w:jc w:val="both"/>
              <w:rPr>
                <w:sz w:val="28"/>
              </w:rPr>
            </w:pPr>
          </w:p>
          <w:p w14:paraId="09000000">
            <w:pPr>
              <w:tabs>
                <w:tab w:leader="none" w:pos="709" w:val="left"/>
                <w:tab w:leader="none" w:pos="2282" w:val="left"/>
              </w:tabs>
              <w:ind/>
              <w:jc w:val="both"/>
              <w:rPr>
                <w:sz w:val="28"/>
              </w:rPr>
            </w:pPr>
          </w:p>
        </w:tc>
        <w:tc>
          <w:tcPr>
            <w:tcW w:type="dxa" w:w="4700"/>
            <w:tcBorders>
              <w:top w:color="000000" w:val="nil"/>
              <w:left w:color="000000" w:val="nil"/>
              <w:bottom w:color="000000" w:val="nil"/>
              <w:right w:color="000000" w:val="nil"/>
            </w:tcBorders>
          </w:tcPr>
          <w:p w14:paraId="0A000000">
            <w:pPr>
              <w:spacing w:line="240" w:lineRule="exact"/>
              <w:ind w:firstLine="0" w:left="318"/>
              <w:jc w:val="both"/>
              <w:rPr>
                <w:sz w:val="28"/>
              </w:rPr>
            </w:pPr>
          </w:p>
          <w:p w14:paraId="0B000000">
            <w:pPr>
              <w:spacing w:line="240" w:lineRule="exact"/>
              <w:ind w:firstLine="0" w:left="318"/>
              <w:jc w:val="both"/>
              <w:rPr>
                <w:sz w:val="28"/>
              </w:rPr>
            </w:pPr>
          </w:p>
          <w:p w14:paraId="0C000000">
            <w:pPr>
              <w:spacing w:line="240" w:lineRule="exact"/>
              <w:ind w:firstLine="0" w:left="318"/>
              <w:jc w:val="both"/>
              <w:rPr>
                <w:sz w:val="28"/>
              </w:rPr>
            </w:pPr>
            <w:r>
              <w:rPr>
                <w:sz w:val="28"/>
              </w:rPr>
              <w:t>Прокурору</w:t>
            </w:r>
            <w:r>
              <w:rPr>
                <w:sz w:val="28"/>
              </w:rPr>
              <w:t xml:space="preserve"> Курортного района </w:t>
            </w:r>
          </w:p>
          <w:p w14:paraId="0D000000">
            <w:pPr>
              <w:spacing w:line="240" w:lineRule="exact"/>
              <w:ind w:firstLine="0" w:left="318"/>
              <w:jc w:val="both"/>
              <w:rPr>
                <w:sz w:val="28"/>
              </w:rPr>
            </w:pPr>
            <w:r>
              <w:rPr>
                <w:sz w:val="28"/>
              </w:rPr>
              <w:t xml:space="preserve">г. </w:t>
            </w:r>
            <w:r>
              <w:rPr>
                <w:sz w:val="28"/>
              </w:rPr>
              <w:t>Санкт-Петербурга</w:t>
            </w:r>
          </w:p>
          <w:p w14:paraId="0E000000">
            <w:pPr>
              <w:spacing w:line="240" w:lineRule="exact"/>
              <w:ind w:firstLine="0" w:left="318"/>
              <w:jc w:val="both"/>
              <w:rPr>
                <w:sz w:val="28"/>
              </w:rPr>
            </w:pPr>
          </w:p>
          <w:p w14:paraId="0F000000">
            <w:pPr>
              <w:spacing w:line="240" w:lineRule="exact"/>
              <w:ind w:firstLine="0" w:left="318"/>
              <w:jc w:val="both"/>
              <w:rPr>
                <w:sz w:val="28"/>
              </w:rPr>
            </w:pPr>
            <w:r>
              <w:rPr>
                <w:sz w:val="28"/>
              </w:rPr>
              <w:t>старшему с</w:t>
            </w:r>
            <w:r>
              <w:rPr>
                <w:sz w:val="28"/>
              </w:rPr>
              <w:t>оветнику юстиции</w:t>
            </w:r>
          </w:p>
          <w:p w14:paraId="10000000">
            <w:pPr>
              <w:spacing w:line="240" w:lineRule="exact"/>
              <w:ind w:firstLine="0" w:left="318"/>
              <w:jc w:val="both"/>
              <w:rPr>
                <w:sz w:val="28"/>
              </w:rPr>
            </w:pPr>
          </w:p>
          <w:p w14:paraId="11000000">
            <w:pPr>
              <w:spacing w:line="240" w:lineRule="exact"/>
              <w:ind w:firstLine="0" w:left="318"/>
              <w:jc w:val="both"/>
              <w:rPr>
                <w:sz w:val="28"/>
              </w:rPr>
            </w:pPr>
            <w:r>
              <w:rPr>
                <w:sz w:val="28"/>
              </w:rPr>
              <w:t xml:space="preserve">Степанову В.В.  </w:t>
            </w:r>
          </w:p>
          <w:p w14:paraId="12000000">
            <w:pPr>
              <w:spacing w:line="240" w:lineRule="exact"/>
              <w:ind w:firstLine="0" w:left="318"/>
              <w:jc w:val="both"/>
              <w:rPr>
                <w:sz w:val="28"/>
              </w:rPr>
            </w:pPr>
          </w:p>
          <w:p w14:paraId="13000000">
            <w:pPr>
              <w:spacing w:line="240" w:lineRule="exact"/>
              <w:ind w:firstLine="0" w:left="318"/>
              <w:jc w:val="both"/>
              <w:rPr>
                <w:sz w:val="28"/>
              </w:rPr>
            </w:pPr>
          </w:p>
          <w:p w14:paraId="14000000">
            <w:pPr>
              <w:spacing w:line="240" w:lineRule="exact"/>
              <w:ind w:firstLine="0" w:left="318"/>
              <w:rPr>
                <w:sz w:val="28"/>
              </w:rPr>
            </w:pPr>
          </w:p>
        </w:tc>
      </w:tr>
    </w:tbl>
    <w:p w14:paraId="15000000">
      <w:pPr>
        <w:spacing w:line="240" w:lineRule="exact"/>
        <w:ind w:firstLine="391" w:left="318"/>
        <w:jc w:val="both"/>
        <w:rPr>
          <w:sz w:val="28"/>
        </w:rPr>
      </w:pPr>
    </w:p>
    <w:p w14:paraId="16000000">
      <w:pPr>
        <w:spacing w:line="240" w:lineRule="exact"/>
        <w:ind/>
        <w:contextualSpacing w:val="1"/>
        <w:rPr>
          <w:sz w:val="28"/>
        </w:rPr>
      </w:pPr>
    </w:p>
    <w:p w14:paraId="17000000">
      <w:pPr>
        <w:spacing w:line="240" w:lineRule="exact"/>
        <w:ind/>
        <w:contextualSpacing w:val="1"/>
        <w:rPr>
          <w:sz w:val="28"/>
        </w:rPr>
      </w:pPr>
    </w:p>
    <w:p w14:paraId="18000000">
      <w:pPr>
        <w:spacing w:line="240" w:lineRule="exact"/>
        <w:ind/>
        <w:contextualSpacing w:val="1"/>
        <w:rPr>
          <w:sz w:val="28"/>
        </w:rPr>
      </w:pPr>
    </w:p>
    <w:p w14:paraId="19000000">
      <w:pPr>
        <w:spacing w:line="240" w:lineRule="exact"/>
        <w:ind/>
        <w:contextualSpacing w:val="1"/>
        <w:rPr>
          <w:sz w:val="28"/>
        </w:rPr>
      </w:pPr>
    </w:p>
    <w:p w14:paraId="1A000000">
      <w:pPr>
        <w:spacing w:line="240" w:lineRule="exact"/>
        <w:ind/>
        <w:contextualSpacing w:val="1"/>
        <w:rPr>
          <w:sz w:val="28"/>
        </w:rPr>
      </w:pPr>
      <w:r>
        <w:rPr>
          <w:sz w:val="28"/>
        </w:rPr>
        <w:t>ИНФОРМАЦИЯ ДЛЯ РАЗМЕЩЕНИЯ В СМИ</w:t>
      </w:r>
    </w:p>
    <w:p w14:paraId="1B000000">
      <w:pPr>
        <w:spacing w:line="240" w:lineRule="exact"/>
        <w:ind/>
        <w:contextualSpacing w:val="1"/>
        <w:rPr>
          <w:sz w:val="28"/>
        </w:rPr>
      </w:pPr>
      <w:r>
        <w:rPr>
          <w:sz w:val="28"/>
        </w:rPr>
        <w:t xml:space="preserve"> </w:t>
      </w:r>
    </w:p>
    <w:p w14:paraId="1C000000">
      <w:pPr>
        <w:ind/>
        <w:jc w:val="center"/>
        <w:rPr>
          <w:b w:val="1"/>
          <w:sz w:val="28"/>
        </w:rPr>
      </w:pPr>
      <w:r>
        <w:rPr>
          <w:b w:val="1"/>
          <w:sz w:val="28"/>
        </w:rPr>
        <w:t>«</w:t>
      </w:r>
      <w:r>
        <w:rPr>
          <w:b w:val="1"/>
          <w:sz w:val="28"/>
        </w:rPr>
        <w:t xml:space="preserve">Правила безопасности </w:t>
      </w:r>
      <w:r>
        <w:rPr>
          <w:b w:val="1"/>
          <w:sz w:val="28"/>
        </w:rPr>
        <w:t xml:space="preserve">на водных объектах </w:t>
      </w:r>
      <w:r>
        <w:rPr>
          <w:b w:val="1"/>
          <w:sz w:val="28"/>
        </w:rPr>
        <w:t>в осенне-зимний период</w:t>
      </w:r>
      <w:r>
        <w:rPr>
          <w:b w:val="1"/>
          <w:sz w:val="28"/>
        </w:rPr>
        <w:t>»</w:t>
      </w:r>
    </w:p>
    <w:p w14:paraId="1D000000">
      <w:pPr>
        <w:spacing w:line="240" w:lineRule="exact"/>
        <w:ind/>
        <w:jc w:val="both"/>
        <w:rPr>
          <w:b w:val="1"/>
          <w:sz w:val="28"/>
        </w:rPr>
      </w:pPr>
    </w:p>
    <w:p w14:paraId="1E000000">
      <w:pPr>
        <w:ind/>
        <w:contextualSpacing w:val="1"/>
        <w:jc w:val="both"/>
        <w:rPr>
          <w:sz w:val="28"/>
        </w:rPr>
      </w:pPr>
      <w:r>
        <w:rPr>
          <w:sz w:val="28"/>
        </w:rPr>
        <w:tab/>
      </w:r>
      <w:r>
        <w:rPr>
          <w:sz w:val="28"/>
        </w:rPr>
        <w:t>Н</w:t>
      </w:r>
      <w:r>
        <w:rPr>
          <w:sz w:val="28"/>
        </w:rPr>
        <w:t xml:space="preserve">есоблюдение правил безопасности на водных объектах в осенне-зимний период являются частой причиной гибели и травматизма людей, в том числе детей. </w:t>
      </w:r>
    </w:p>
    <w:p w14:paraId="1F000000">
      <w:pPr>
        <w:ind w:firstLine="709" w:left="0"/>
        <w:contextualSpacing w:val="1"/>
        <w:jc w:val="both"/>
        <w:rPr>
          <w:sz w:val="28"/>
        </w:rPr>
      </w:pPr>
      <w:r>
        <w:rPr>
          <w:sz w:val="28"/>
        </w:rPr>
        <w:t>Лед в осенний период до наступления устойчивых морозов непрочен, и не способен выдерживать даже небольшую нагрузку.</w:t>
      </w:r>
    </w:p>
    <w:p w14:paraId="20000000">
      <w:pPr>
        <w:ind w:firstLine="709" w:left="0"/>
        <w:contextualSpacing w:val="1"/>
        <w:jc w:val="both"/>
        <w:rPr>
          <w:sz w:val="28"/>
        </w:rPr>
      </w:pPr>
      <w:r>
        <w:rPr>
          <w:sz w:val="28"/>
        </w:rPr>
        <w:t>Прокуратура Курортного района просит соблюдать граждан правила безопасности в осенне-зимний период</w:t>
      </w:r>
      <w:r>
        <w:rPr>
          <w:sz w:val="28"/>
        </w:rPr>
        <w:t>:</w:t>
      </w:r>
    </w:p>
    <w:p w14:paraId="21000000">
      <w:pPr>
        <w:ind w:firstLine="709" w:left="0"/>
        <w:contextualSpacing w:val="1"/>
        <w:jc w:val="both"/>
        <w:rPr>
          <w:sz w:val="28"/>
        </w:rPr>
      </w:pPr>
      <w:r>
        <w:rPr>
          <w:sz w:val="28"/>
        </w:rPr>
        <w:t xml:space="preserve">- </w:t>
      </w:r>
      <w:r>
        <w:rPr>
          <w:sz w:val="28"/>
        </w:rPr>
        <w:t xml:space="preserve">не ходить </w:t>
      </w:r>
      <w:r>
        <w:rPr>
          <w:sz w:val="28"/>
        </w:rPr>
        <w:t>по льду водоемов, особенно в темное время суток и в состоянии опьянения;</w:t>
      </w:r>
    </w:p>
    <w:p w14:paraId="22000000">
      <w:pPr>
        <w:ind w:firstLine="709" w:left="0"/>
        <w:contextualSpacing w:val="1"/>
        <w:jc w:val="both"/>
        <w:rPr>
          <w:sz w:val="28"/>
        </w:rPr>
      </w:pPr>
      <w:r>
        <w:rPr>
          <w:sz w:val="28"/>
        </w:rPr>
        <w:t xml:space="preserve">- контролировать детей и не разрешать им играть на льду водоемов: не бегать и не прыгать, проверяя лед на прочность, кроме того, не стоит в целях безопасности отпускать детей и для катания на лыжах и коньках по льду водоемов; </w:t>
      </w:r>
    </w:p>
    <w:p w14:paraId="23000000">
      <w:pPr>
        <w:ind w:firstLine="709" w:left="0"/>
        <w:contextualSpacing w:val="1"/>
        <w:jc w:val="both"/>
        <w:rPr>
          <w:sz w:val="28"/>
        </w:rPr>
      </w:pPr>
      <w:r>
        <w:rPr>
          <w:sz w:val="28"/>
        </w:rPr>
        <w:t>- при переходе через реки пользуйтесь только ледовыми переправами.</w:t>
      </w:r>
    </w:p>
    <w:p w14:paraId="24000000">
      <w:pPr>
        <w:ind w:firstLine="709" w:left="0"/>
        <w:contextualSpacing w:val="1"/>
        <w:jc w:val="both"/>
        <w:rPr>
          <w:sz w:val="28"/>
        </w:rPr>
      </w:pPr>
    </w:p>
    <w:p w14:paraId="25000000">
      <w:pPr>
        <w:ind w:firstLine="708" w:left="0"/>
        <w:contextualSpacing w:val="1"/>
        <w:jc w:val="both"/>
        <w:rPr>
          <w:sz w:val="28"/>
        </w:rPr>
      </w:pPr>
      <w:r>
        <w:rPr>
          <w:sz w:val="28"/>
        </w:rPr>
        <w:t>Будьте предельно осторожны</w:t>
      </w:r>
      <w:r>
        <w:rPr>
          <w:sz w:val="28"/>
        </w:rPr>
        <w:t xml:space="preserve"> </w:t>
      </w:r>
      <w:r>
        <w:rPr>
          <w:sz w:val="28"/>
        </w:rPr>
        <w:t xml:space="preserve">и следуйте правилам безопасности. </w:t>
      </w:r>
    </w:p>
    <w:p w14:paraId="26000000">
      <w:pPr>
        <w:spacing w:line="240" w:lineRule="exact"/>
        <w:ind/>
        <w:jc w:val="both"/>
        <w:rPr>
          <w:b w:val="1"/>
          <w:sz w:val="28"/>
        </w:rPr>
      </w:pPr>
    </w:p>
    <w:p w14:paraId="27000000">
      <w:pPr>
        <w:spacing w:line="240" w:lineRule="exact"/>
        <w:ind/>
        <w:jc w:val="both"/>
        <w:rPr>
          <w:sz w:val="28"/>
        </w:rPr>
      </w:pPr>
    </w:p>
    <w:p w14:paraId="28000000">
      <w:pPr>
        <w:spacing w:line="240" w:lineRule="exact"/>
        <w:ind/>
        <w:jc w:val="both"/>
        <w:rPr>
          <w:sz w:val="28"/>
        </w:rPr>
      </w:pPr>
      <w:r>
        <w:rPr>
          <w:sz w:val="28"/>
        </w:rPr>
        <w:t>П</w:t>
      </w:r>
      <w:r>
        <w:rPr>
          <w:sz w:val="28"/>
        </w:rPr>
        <w:t xml:space="preserve">омощник прокурора района                             </w:t>
      </w:r>
      <w:r>
        <w:rPr>
          <w:sz w:val="28"/>
        </w:rPr>
        <w:t xml:space="preserve">                           </w:t>
      </w:r>
      <w:r>
        <w:rPr>
          <w:sz w:val="28"/>
        </w:rPr>
        <w:t xml:space="preserve"> </w:t>
      </w:r>
      <w:r>
        <w:rPr>
          <w:sz w:val="28"/>
        </w:rPr>
        <w:t xml:space="preserve"> </w:t>
      </w:r>
      <w:bookmarkStart w:id="1" w:name="_GoBack"/>
      <w:bookmarkEnd w:id="1"/>
      <w:r>
        <w:rPr>
          <w:sz w:val="28"/>
        </w:rPr>
        <w:t>О.И. Назарова</w:t>
      </w:r>
    </w:p>
    <w:p w14:paraId="29000000">
      <w:pPr>
        <w:rPr>
          <w:sz w:val="20"/>
        </w:rPr>
      </w:pPr>
    </w:p>
    <w:sectPr>
      <w:pgSz w:h="16838" w:orient="portrait" w:w="11906"/>
      <w:pgMar w:bottom="851" w:footer="708" w:gutter="0" w:header="708" w:left="1701" w:right="850" w:top="851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spacing w:after="200" w:before="0" w:line="276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2" w:type="paragraph">
    <w:name w:val="Normal"/>
    <w:link w:val="Style_2_ch"/>
    <w:uiPriority w:val="0"/>
    <w:qFormat/>
    <w:pPr>
      <w:spacing w:after="0" w:line="240" w:lineRule="auto"/>
      <w:ind/>
    </w:pPr>
    <w:rPr>
      <w:rFonts w:ascii="Times New Roman" w:hAnsi="Times New Roman"/>
      <w:sz w:val="24"/>
    </w:rPr>
  </w:style>
  <w:style w:default="1" w:styleId="Style_2_ch" w:type="character">
    <w:name w:val="Normal"/>
    <w:link w:val="Style_2"/>
    <w:rPr>
      <w:rFonts w:ascii="Times New Roman" w:hAnsi="Times New Roman"/>
      <w:sz w:val="24"/>
    </w:rPr>
  </w:style>
  <w:style w:styleId="Style_3" w:type="paragraph">
    <w:name w:val="toc 2"/>
    <w:next w:val="Style_2"/>
    <w:link w:val="Style_3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3_ch" w:type="character">
    <w:name w:val="toc 2"/>
    <w:link w:val="Style_3"/>
    <w:rPr>
      <w:rFonts w:ascii="XO Thames" w:hAnsi="XO Thames"/>
      <w:sz w:val="28"/>
    </w:rPr>
  </w:style>
  <w:style w:styleId="Style_4" w:type="paragraph">
    <w:name w:val="toc 4"/>
    <w:next w:val="Style_2"/>
    <w:link w:val="Style_4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4_ch" w:type="character">
    <w:name w:val="toc 4"/>
    <w:link w:val="Style_4"/>
    <w:rPr>
      <w:rFonts w:ascii="XO Thames" w:hAnsi="XO Thames"/>
      <w:sz w:val="28"/>
    </w:rPr>
  </w:style>
  <w:style w:styleId="Style_5" w:type="paragraph">
    <w:name w:val="toc 6"/>
    <w:next w:val="Style_2"/>
    <w:link w:val="Style_5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5_ch" w:type="character">
    <w:name w:val="toc 6"/>
    <w:link w:val="Style_5"/>
    <w:rPr>
      <w:rFonts w:ascii="XO Thames" w:hAnsi="XO Thames"/>
      <w:sz w:val="28"/>
    </w:rPr>
  </w:style>
  <w:style w:styleId="Style_6" w:type="paragraph">
    <w:name w:val="toc 7"/>
    <w:next w:val="Style_2"/>
    <w:link w:val="Style_6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6_ch" w:type="character">
    <w:name w:val="toc 7"/>
    <w:link w:val="Style_6"/>
    <w:rPr>
      <w:rFonts w:ascii="XO Thames" w:hAnsi="XO Thames"/>
      <w:sz w:val="28"/>
    </w:rPr>
  </w:style>
  <w:style w:styleId="Style_7" w:type="paragraph">
    <w:name w:val="Endnote"/>
    <w:link w:val="Style_7_ch"/>
    <w:pPr>
      <w:ind w:firstLine="851" w:left="0"/>
      <w:jc w:val="both"/>
    </w:pPr>
    <w:rPr>
      <w:rFonts w:ascii="XO Thames" w:hAnsi="XO Thames"/>
      <w:sz w:val="22"/>
    </w:rPr>
  </w:style>
  <w:style w:styleId="Style_7_ch" w:type="character">
    <w:name w:val="Endnote"/>
    <w:link w:val="Style_7"/>
    <w:rPr>
      <w:rFonts w:ascii="XO Thames" w:hAnsi="XO Thames"/>
      <w:sz w:val="22"/>
    </w:rPr>
  </w:style>
  <w:style w:styleId="Style_8" w:type="paragraph">
    <w:name w:val="heading 3"/>
    <w:next w:val="Style_2"/>
    <w:link w:val="Style_8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8_ch" w:type="character">
    <w:name w:val="heading 3"/>
    <w:link w:val="Style_8"/>
    <w:rPr>
      <w:rFonts w:ascii="XO Thames" w:hAnsi="XO Thames"/>
      <w:b w:val="1"/>
      <w:sz w:val="26"/>
    </w:rPr>
  </w:style>
  <w:style w:styleId="Style_9" w:type="paragraph">
    <w:name w:val="header"/>
    <w:basedOn w:val="Style_2"/>
    <w:link w:val="Style_9_ch"/>
    <w:pPr>
      <w:tabs>
        <w:tab w:leader="none" w:pos="4677" w:val="center"/>
        <w:tab w:leader="none" w:pos="9355" w:val="right"/>
      </w:tabs>
      <w:ind/>
    </w:pPr>
  </w:style>
  <w:style w:styleId="Style_9_ch" w:type="character">
    <w:name w:val="header"/>
    <w:basedOn w:val="Style_2_ch"/>
    <w:link w:val="Style_9"/>
  </w:style>
  <w:style w:styleId="Style_10" w:type="paragraph">
    <w:name w:val="toc 3"/>
    <w:next w:val="Style_2"/>
    <w:link w:val="Style_10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10_ch" w:type="character">
    <w:name w:val="toc 3"/>
    <w:link w:val="Style_10"/>
    <w:rPr>
      <w:rFonts w:ascii="XO Thames" w:hAnsi="XO Thames"/>
      <w:sz w:val="28"/>
    </w:rPr>
  </w:style>
  <w:style w:styleId="Style_11" w:type="paragraph">
    <w:name w:val="heading 5"/>
    <w:next w:val="Style_2"/>
    <w:link w:val="Style_11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1_ch" w:type="character">
    <w:name w:val="heading 5"/>
    <w:link w:val="Style_11"/>
    <w:rPr>
      <w:rFonts w:ascii="XO Thames" w:hAnsi="XO Thames"/>
      <w:b w:val="1"/>
      <w:sz w:val="22"/>
    </w:rPr>
  </w:style>
  <w:style w:styleId="Style_12" w:type="paragraph">
    <w:name w:val="heading 1"/>
    <w:next w:val="Style_2"/>
    <w:link w:val="Style_12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2_ch" w:type="character">
    <w:name w:val="heading 1"/>
    <w:link w:val="Style_12"/>
    <w:rPr>
      <w:rFonts w:ascii="XO Thames" w:hAnsi="XO Thames"/>
      <w:b w:val="1"/>
      <w:sz w:val="32"/>
    </w:rPr>
  </w:style>
  <w:style w:styleId="Style_13" w:type="paragraph">
    <w:name w:val="Default Paragraph Font"/>
    <w:link w:val="Style_13_ch"/>
  </w:style>
  <w:style w:styleId="Style_13_ch" w:type="character">
    <w:name w:val="Default Paragraph Font"/>
    <w:link w:val="Style_13"/>
  </w:style>
  <w:style w:styleId="Style_14" w:type="paragraph">
    <w:name w:val="List Paragraph"/>
    <w:basedOn w:val="Style_2"/>
    <w:link w:val="Style_14_ch"/>
    <w:pPr>
      <w:ind w:firstLine="0" w:left="720"/>
      <w:contextualSpacing w:val="1"/>
    </w:pPr>
  </w:style>
  <w:style w:styleId="Style_14_ch" w:type="character">
    <w:name w:val="List Paragraph"/>
    <w:basedOn w:val="Style_2_ch"/>
    <w:link w:val="Style_14"/>
  </w:style>
  <w:style w:styleId="Style_15" w:type="paragraph">
    <w:name w:val="Hyperlink"/>
    <w:link w:val="Style_15_ch"/>
    <w:rPr>
      <w:color w:val="0000FF"/>
      <w:u w:val="single"/>
    </w:rPr>
  </w:style>
  <w:style w:styleId="Style_15_ch" w:type="character">
    <w:name w:val="Hyperlink"/>
    <w:link w:val="Style_15"/>
    <w:rPr>
      <w:color w:val="0000FF"/>
      <w:u w:val="single"/>
    </w:rPr>
  </w:style>
  <w:style w:styleId="Style_16" w:type="paragraph">
    <w:name w:val="Footnote"/>
    <w:link w:val="Style_16_ch"/>
    <w:pPr>
      <w:ind w:firstLine="851" w:left="0"/>
      <w:jc w:val="both"/>
    </w:pPr>
    <w:rPr>
      <w:rFonts w:ascii="XO Thames" w:hAnsi="XO Thames"/>
      <w:sz w:val="22"/>
    </w:rPr>
  </w:style>
  <w:style w:styleId="Style_16_ch" w:type="character">
    <w:name w:val="Footnote"/>
    <w:link w:val="Style_16"/>
    <w:rPr>
      <w:rFonts w:ascii="XO Thames" w:hAnsi="XO Thames"/>
      <w:sz w:val="22"/>
    </w:rPr>
  </w:style>
  <w:style w:styleId="Style_17" w:type="paragraph">
    <w:name w:val="toc 1"/>
    <w:next w:val="Style_2"/>
    <w:link w:val="Style_17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17_ch" w:type="character">
    <w:name w:val="toc 1"/>
    <w:link w:val="Style_17"/>
    <w:rPr>
      <w:rFonts w:ascii="XO Thames" w:hAnsi="XO Thames"/>
      <w:b w:val="1"/>
      <w:sz w:val="28"/>
    </w:rPr>
  </w:style>
  <w:style w:styleId="Style_18" w:type="paragraph">
    <w:name w:val="Normal (Web)"/>
    <w:basedOn w:val="Style_2"/>
    <w:link w:val="Style_18_ch"/>
    <w:pPr>
      <w:spacing w:after="150"/>
      <w:ind/>
    </w:pPr>
  </w:style>
  <w:style w:styleId="Style_18_ch" w:type="character">
    <w:name w:val="Normal (Web)"/>
    <w:basedOn w:val="Style_2_ch"/>
    <w:link w:val="Style_18"/>
  </w:style>
  <w:style w:styleId="Style_19" w:type="paragraph">
    <w:name w:val="Header and Footer"/>
    <w:link w:val="Style_19_ch"/>
    <w:pPr>
      <w:spacing w:line="240" w:lineRule="auto"/>
      <w:ind/>
      <w:jc w:val="both"/>
    </w:pPr>
    <w:rPr>
      <w:rFonts w:ascii="XO Thames" w:hAnsi="XO Thames"/>
      <w:sz w:val="28"/>
    </w:rPr>
  </w:style>
  <w:style w:styleId="Style_19_ch" w:type="character">
    <w:name w:val="Header and Footer"/>
    <w:link w:val="Style_19"/>
    <w:rPr>
      <w:rFonts w:ascii="XO Thames" w:hAnsi="XO Thames"/>
      <w:sz w:val="28"/>
    </w:rPr>
  </w:style>
  <w:style w:styleId="Style_20" w:type="paragraph">
    <w:name w:val="toc 9"/>
    <w:next w:val="Style_2"/>
    <w:link w:val="Style_20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20_ch" w:type="character">
    <w:name w:val="toc 9"/>
    <w:link w:val="Style_20"/>
    <w:rPr>
      <w:rFonts w:ascii="XO Thames" w:hAnsi="XO Thames"/>
      <w:sz w:val="28"/>
    </w:rPr>
  </w:style>
  <w:style w:styleId="Style_21" w:type="paragraph">
    <w:name w:val="toc 8"/>
    <w:next w:val="Style_2"/>
    <w:link w:val="Style_21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21_ch" w:type="character">
    <w:name w:val="toc 8"/>
    <w:link w:val="Style_21"/>
    <w:rPr>
      <w:rFonts w:ascii="XO Thames" w:hAnsi="XO Thames"/>
      <w:sz w:val="28"/>
    </w:rPr>
  </w:style>
  <w:style w:styleId="Style_22" w:type="paragraph">
    <w:name w:val="toc 5"/>
    <w:next w:val="Style_2"/>
    <w:link w:val="Style_22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22_ch" w:type="character">
    <w:name w:val="toc 5"/>
    <w:link w:val="Style_22"/>
    <w:rPr>
      <w:rFonts w:ascii="XO Thames" w:hAnsi="XO Thames"/>
      <w:sz w:val="28"/>
    </w:rPr>
  </w:style>
  <w:style w:styleId="Style_23" w:type="paragraph">
    <w:name w:val="footer"/>
    <w:basedOn w:val="Style_2"/>
    <w:link w:val="Style_23_ch"/>
    <w:pPr>
      <w:tabs>
        <w:tab w:leader="none" w:pos="4677" w:val="center"/>
        <w:tab w:leader="none" w:pos="9355" w:val="right"/>
      </w:tabs>
      <w:ind/>
    </w:pPr>
  </w:style>
  <w:style w:styleId="Style_23_ch" w:type="character">
    <w:name w:val="footer"/>
    <w:basedOn w:val="Style_2_ch"/>
    <w:link w:val="Style_23"/>
  </w:style>
  <w:style w:styleId="Style_24" w:type="paragraph">
    <w:name w:val="Subtitle"/>
    <w:next w:val="Style_2"/>
    <w:link w:val="Style_24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24_ch" w:type="character">
    <w:name w:val="Subtitle"/>
    <w:link w:val="Style_24"/>
    <w:rPr>
      <w:rFonts w:ascii="XO Thames" w:hAnsi="XO Thames"/>
      <w:i w:val="1"/>
      <w:sz w:val="24"/>
    </w:rPr>
  </w:style>
  <w:style w:styleId="Style_25" w:type="paragraph">
    <w:name w:val="ConsNonformat"/>
    <w:link w:val="Style_25_ch"/>
    <w:pPr>
      <w:widowControl w:val="0"/>
      <w:spacing w:after="0" w:line="240" w:lineRule="auto"/>
      <w:ind/>
    </w:pPr>
    <w:rPr>
      <w:rFonts w:ascii="Courier New" w:hAnsi="Courier New"/>
      <w:sz w:val="20"/>
    </w:rPr>
  </w:style>
  <w:style w:styleId="Style_25_ch" w:type="character">
    <w:name w:val="ConsNonformat"/>
    <w:link w:val="Style_25"/>
    <w:rPr>
      <w:rFonts w:ascii="Courier New" w:hAnsi="Courier New"/>
      <w:sz w:val="20"/>
    </w:rPr>
  </w:style>
  <w:style w:styleId="Style_26" w:type="paragraph">
    <w:name w:val="Title"/>
    <w:next w:val="Style_2"/>
    <w:link w:val="Style_26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6_ch" w:type="character">
    <w:name w:val="Title"/>
    <w:link w:val="Style_26"/>
    <w:rPr>
      <w:rFonts w:ascii="XO Thames" w:hAnsi="XO Thames"/>
      <w:b w:val="1"/>
      <w:caps w:val="1"/>
      <w:sz w:val="40"/>
    </w:rPr>
  </w:style>
  <w:style w:styleId="Style_27" w:type="paragraph">
    <w:name w:val="heading 4"/>
    <w:next w:val="Style_2"/>
    <w:link w:val="Style_27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7_ch" w:type="character">
    <w:name w:val="heading 4"/>
    <w:link w:val="Style_27"/>
    <w:rPr>
      <w:rFonts w:ascii="XO Thames" w:hAnsi="XO Thames"/>
      <w:b w:val="1"/>
      <w:sz w:val="24"/>
    </w:rPr>
  </w:style>
  <w:style w:styleId="Style_28" w:type="paragraph">
    <w:name w:val="heading 2"/>
    <w:next w:val="Style_2"/>
    <w:link w:val="Style_28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8_ch" w:type="character">
    <w:name w:val="heading 2"/>
    <w:link w:val="Style_28"/>
    <w:rPr>
      <w:rFonts w:ascii="XO Thames" w:hAnsi="XO Thames"/>
      <w:b w:val="1"/>
      <w:sz w:val="28"/>
    </w:rPr>
  </w:style>
  <w:style w:styleId="Style_1" w:type="table">
    <w:name w:val="Table Grid"/>
    <w:basedOn w:val="Style_29"/>
    <w:pPr>
      <w:spacing w:after="0" w:line="240" w:lineRule="auto"/>
      <w:ind/>
    </w:p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default="1" w:styleId="Style_29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1" Target="fontTable.xml" Type="http://schemas.openxmlformats.org/officeDocument/2006/relationships/fontTable"/>
  <Relationship Id="rId2" Target="settings.xml" Type="http://schemas.openxmlformats.org/officeDocument/2006/relationships/settings"/>
  <Relationship Id="rId3" Target="styles.xml" Type="http://schemas.openxmlformats.org/officeDocument/2006/relationships/styles"/>
  <Relationship Id="rId4" Target="stylesWithEffects.xml" Type="http://schemas.microsoft.com/office/2007/relationships/stylesWithEffects"/>
  <Relationship Id="rId5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MyOffice-CoreFramework-Linux/31-1176.784.8785.803.1@b7d79ee91c0484ce8e5066dc862bfc403a32edb5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2025-11-12T06:46:12Z</dcterms:modified>
</cp:coreProperties>
</file>