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9E" w:rsidRDefault="00951C1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880F9E" w:rsidRDefault="00880F9E">
      <w:pPr>
        <w:jc w:val="center"/>
        <w:rPr>
          <w:b/>
          <w:sz w:val="28"/>
          <w:szCs w:val="28"/>
        </w:rPr>
      </w:pPr>
    </w:p>
    <w:p w:rsidR="00880F9E" w:rsidRDefault="0095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04.05.2026</w:t>
      </w:r>
    </w:p>
    <w:p w:rsidR="00880F9E" w:rsidRDefault="00951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350 жителей Санкт-Петербурга и Ленинградской области с начала года получили компенсацию стоимости полиса ОСАГО от регионального Отделения СФР </w:t>
      </w:r>
    </w:p>
    <w:p w:rsidR="00880F9E" w:rsidRDefault="00880F9E">
      <w:pPr>
        <w:jc w:val="center"/>
        <w:rPr>
          <w:b/>
          <w:sz w:val="28"/>
          <w:szCs w:val="28"/>
        </w:rPr>
      </w:pPr>
    </w:p>
    <w:p w:rsidR="00880F9E" w:rsidRDefault="00951C14">
      <w:pPr>
        <w:pStyle w:val="aff4"/>
        <w:spacing w:before="280" w:after="280"/>
        <w:ind w:firstLine="567"/>
        <w:jc w:val="both"/>
      </w:pPr>
      <w:r>
        <w:t xml:space="preserve">С начала 2026 года уже 356 жителей региона получили компенсацию расходов на </w:t>
      </w:r>
      <w:r>
        <w:t>обязательное страхование автогражданской ответственности (ОСАГО). Эта мера поддержки предназначена для граждан, которым автомобиль необходим по медицинским показаниям, что подтверждено индивидуальной программой реабилитации и абилитации (ИПРА). Законные пр</w:t>
      </w:r>
      <w:r>
        <w:t>едставители детей с инвалидностью также имеют право на получение данной выплаты.</w:t>
      </w:r>
    </w:p>
    <w:p w:rsidR="00880F9E" w:rsidRDefault="00951C14">
      <w:pPr>
        <w:pStyle w:val="aff4"/>
        <w:spacing w:before="280" w:after="280"/>
        <w:ind w:firstLine="567"/>
        <w:jc w:val="both"/>
      </w:pPr>
      <w:r>
        <w:t>Отметим, что компенсация предоставляется один раз в течение календарного года и покрывает 50% от уплаченной страховой премии по договору ОСАГО.</w:t>
      </w:r>
    </w:p>
    <w:p w:rsidR="00880F9E" w:rsidRDefault="00951C14">
      <w:pPr>
        <w:ind w:firstLine="567"/>
        <w:jc w:val="both"/>
      </w:pPr>
      <w:r>
        <w:t>«Для получения компенсации не и</w:t>
      </w:r>
      <w:r>
        <w:t>меет значения группа инвалидности. Главное условие – полная оплата страховки, а сам гражданин или его законный представитель должны являться страхователем договора. В полисе ОСАГО, помимо самого инвалида или его представителя, может быть указано не более д</w:t>
      </w:r>
      <w:r>
        <w:t>вух водителей», – пояснил управляющий отделением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</w:t>
      </w:r>
      <w:r>
        <w:t xml:space="preserve">Социального фонда по Санкт-Петербургу и Ленинградской области Константин Островский. </w:t>
      </w:r>
    </w:p>
    <w:p w:rsidR="00880F9E" w:rsidRDefault="00951C14">
      <w:pPr>
        <w:pStyle w:val="aff4"/>
        <w:spacing w:before="280" w:after="280"/>
        <w:ind w:firstLine="567"/>
        <w:jc w:val="both"/>
      </w:pPr>
      <w:r>
        <w:t>В большинстве случаев выплата назначается автоматически. Это происходит, если вся необходимая информация – о полисе, инва</w:t>
      </w:r>
      <w:r>
        <w:t>лидности и медицинских показаниях – уже содержится в Федеральном реестре инвалидов и Единой информационной системе социального обеспечения (ЕГИССО).</w:t>
      </w:r>
    </w:p>
    <w:p w:rsidR="00880F9E" w:rsidRDefault="00951C14">
      <w:pPr>
        <w:pStyle w:val="aff4"/>
        <w:spacing w:before="280" w:after="280"/>
        <w:ind w:firstLine="567"/>
        <w:jc w:val="both"/>
      </w:pPr>
      <w:r>
        <w:t>Если же какие-либо данные отсутствуют, гражданину или его законному представителю необходимо обратиться с з</w:t>
      </w:r>
      <w:r>
        <w:t xml:space="preserve">аявлением. Это можно сделать через портал Госуслуг, в любом многофункциональном центре (МФЦ) или непосредственно в клиентской службе Отделения СФР по Санкт-Петербургу и Ленинградской области. </w:t>
      </w:r>
    </w:p>
    <w:p w:rsidR="00880F9E" w:rsidRDefault="00951C14">
      <w:pPr>
        <w:pStyle w:val="aff4"/>
        <w:spacing w:before="280" w:after="280"/>
        <w:ind w:firstLine="567"/>
        <w:jc w:val="both"/>
      </w:pPr>
      <w:r>
        <w:t>Для подачи заявления потребуется справка из органов медико-соци</w:t>
      </w:r>
      <w:r>
        <w:t>альной экспертизы, подтверждающая инвалидность и наличие медицинских показаний к использованию автомобиля.</w:t>
      </w:r>
    </w:p>
    <w:p w:rsidR="00880F9E" w:rsidRDefault="00951C14">
      <w:pPr>
        <w:ind w:firstLine="567"/>
        <w:jc w:val="both"/>
      </w:pPr>
      <w:r>
        <w:t>Финансовая помощь перечисляется в течение 5 рабочих дней с момента принятия решения о назначении компенсации. Денежные средства перечисляются граждан</w:t>
      </w:r>
      <w:r>
        <w:t>ину в такой же срок после принятия соответствующего решения.</w:t>
      </w:r>
    </w:p>
    <w:p w:rsidR="00880F9E" w:rsidRDefault="00880F9E">
      <w:pPr>
        <w:pStyle w:val="aff4"/>
        <w:spacing w:before="280" w:after="280"/>
      </w:pPr>
    </w:p>
    <w:p w:rsidR="00880F9E" w:rsidRDefault="00951C14">
      <w:pPr>
        <w:jc w:val="center"/>
        <w:rPr>
          <w:b/>
          <w:sz w:val="28"/>
          <w:szCs w:val="28"/>
        </w:rPr>
      </w:pPr>
      <w:r>
        <w:lastRenderedPageBreak/>
        <w:br/>
      </w:r>
      <w:r>
        <w:br/>
      </w:r>
    </w:p>
    <w:sectPr w:rsidR="00880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14" w:rsidRDefault="00951C14">
      <w:r>
        <w:separator/>
      </w:r>
    </w:p>
  </w:endnote>
  <w:endnote w:type="continuationSeparator" w:id="0">
    <w:p w:rsidR="00951C14" w:rsidRDefault="0095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880F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951C1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951C1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</w:t>
    </w:r>
    <w:r>
      <w:rPr>
        <w:b/>
        <w:bCs/>
        <w:i/>
        <w:iCs/>
        <w:sz w:val="26"/>
        <w:szCs w:val="2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14" w:rsidRDefault="00951C14">
      <w:r>
        <w:separator/>
      </w:r>
    </w:p>
  </w:footnote>
  <w:footnote w:type="continuationSeparator" w:id="0">
    <w:p w:rsidR="00951C14" w:rsidRDefault="0095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880F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951C1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Санкт-Петербургу и Ленинградской </w:t>
                          </w:r>
                          <w:r>
                            <w:rPr>
                              <w:sz w:val="28"/>
                              <w:szCs w:val="28"/>
                            </w:rPr>
                            <w:t>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Санкт-Петербургу и Ленинградской </w:t>
                    </w:r>
                    <w:r>
                      <w:rPr>
                        <w:sz w:val="28"/>
                        <w:szCs w:val="28"/>
                      </w:rPr>
                      <w:t>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9E" w:rsidRDefault="00951C1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880F9E" w:rsidRDefault="00951C1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880F9E" w:rsidRDefault="00951C1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9E"/>
    <w:rsid w:val="002E70F2"/>
    <w:rsid w:val="00880F9E"/>
    <w:rsid w:val="009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cp:lastPrinted>2026-04-30T10:02:00Z</cp:lastPrinted>
  <dcterms:created xsi:type="dcterms:W3CDTF">2026-05-04T07:15:00Z</dcterms:created>
  <dcterms:modified xsi:type="dcterms:W3CDTF">2026-05-04T07:15:00Z</dcterms:modified>
  <dc:language>ru-RU</dc:language>
</cp:coreProperties>
</file>