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V w:color="000000" w:val="nil"/>
        </w:tblBorders>
        <w:tblLayout w:type="fixed"/>
      </w:tblPr>
      <w:tblGrid>
        <w:gridCol w:w="4770"/>
        <w:gridCol w:w="4771"/>
      </w:tblGrid>
      <w:tr>
        <w:trPr>
          <w:trHeight w:hRule="atLeast" w:val="2082"/>
        </w:trPr>
        <w:tc>
          <w:tcPr>
            <w:tcW w:type="dxa" w:w="477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1000000">
            <w:pPr>
              <w:widowControl w:val="1"/>
              <w:tabs>
                <w:tab w:leader="none" w:pos="709" w:val="left"/>
                <w:tab w:leader="none" w:pos="2282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2000000">
            <w:pPr>
              <w:widowControl w:val="1"/>
              <w:tabs>
                <w:tab w:leader="none" w:pos="709" w:val="left"/>
                <w:tab w:leader="none" w:pos="2282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3000000">
            <w:pPr>
              <w:widowControl w:val="1"/>
              <w:tabs>
                <w:tab w:leader="none" w:pos="1709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4000000">
            <w:pPr>
              <w:widowControl w:val="1"/>
              <w:tabs>
                <w:tab w:leader="none" w:pos="709" w:val="left"/>
                <w:tab w:leader="none" w:pos="2282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5000000">
            <w:pPr>
              <w:widowControl w:val="1"/>
              <w:tabs>
                <w:tab w:leader="none" w:pos="709" w:val="left"/>
                <w:tab w:leader="none" w:pos="2282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6000000">
            <w:pPr>
              <w:widowControl w:val="1"/>
              <w:tabs>
                <w:tab w:leader="none" w:pos="709" w:val="left"/>
                <w:tab w:leader="none" w:pos="2282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7000000">
            <w:pPr>
              <w:widowControl w:val="1"/>
              <w:tabs>
                <w:tab w:leader="none" w:pos="709" w:val="left"/>
                <w:tab w:leader="none" w:pos="2282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8000000">
            <w:pPr>
              <w:widowControl w:val="1"/>
              <w:tabs>
                <w:tab w:leader="none" w:pos="709" w:val="left"/>
                <w:tab w:leader="none" w:pos="2282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77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9000000">
            <w:pPr>
              <w:widowControl w:val="1"/>
              <w:spacing w:line="240" w:lineRule="exact"/>
              <w:ind w:left="318"/>
              <w:jc w:val="both"/>
              <w:rPr>
                <w:rFonts w:ascii="Times New Roman" w:hAnsi="Times New Roman"/>
                <w:sz w:val="28"/>
              </w:rPr>
            </w:pPr>
          </w:p>
          <w:p w14:paraId="0A000000">
            <w:pPr>
              <w:widowControl w:val="1"/>
              <w:spacing w:line="240" w:lineRule="exact"/>
              <w:ind w:left="318"/>
              <w:jc w:val="both"/>
              <w:rPr>
                <w:rFonts w:ascii="Times New Roman" w:hAnsi="Times New Roman"/>
                <w:sz w:val="28"/>
              </w:rPr>
            </w:pPr>
          </w:p>
          <w:p w14:paraId="0B000000">
            <w:pPr>
              <w:widowControl w:val="1"/>
              <w:spacing w:line="240" w:lineRule="exact"/>
              <w:ind w:left="31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И.о. прокурора</w:t>
            </w:r>
            <w:r>
              <w:rPr>
                <w:rFonts w:ascii="Times New Roman" w:hAnsi="Times New Roman"/>
                <w:sz w:val="28"/>
              </w:rPr>
              <w:t xml:space="preserve"> Курортного района </w:t>
            </w:r>
          </w:p>
          <w:p w14:paraId="0C000000">
            <w:pPr>
              <w:widowControl w:val="1"/>
              <w:spacing w:line="240" w:lineRule="exact"/>
              <w:ind w:left="31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г. </w:t>
            </w:r>
            <w:r>
              <w:rPr>
                <w:rFonts w:ascii="Times New Roman" w:hAnsi="Times New Roman"/>
                <w:sz w:val="28"/>
              </w:rPr>
              <w:t>Санкт-Петербурга</w:t>
            </w:r>
          </w:p>
          <w:p w14:paraId="0D000000">
            <w:pPr>
              <w:widowControl w:val="1"/>
              <w:spacing w:line="240" w:lineRule="exact"/>
              <w:ind w:left="318"/>
              <w:jc w:val="both"/>
              <w:rPr>
                <w:rFonts w:ascii="Times New Roman" w:hAnsi="Times New Roman"/>
                <w:sz w:val="28"/>
              </w:rPr>
            </w:pPr>
          </w:p>
          <w:p w14:paraId="0E000000">
            <w:pPr>
              <w:widowControl w:val="1"/>
              <w:spacing w:line="240" w:lineRule="exact"/>
              <w:ind w:left="31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z w:val="28"/>
              </w:rPr>
              <w:t>оветнику юстиции</w:t>
            </w:r>
          </w:p>
          <w:p w14:paraId="0F000000">
            <w:pPr>
              <w:widowControl w:val="1"/>
              <w:spacing w:line="240" w:lineRule="exact"/>
              <w:ind w:left="318"/>
              <w:jc w:val="both"/>
              <w:rPr>
                <w:rFonts w:ascii="Times New Roman" w:hAnsi="Times New Roman"/>
                <w:sz w:val="28"/>
              </w:rPr>
            </w:pPr>
          </w:p>
          <w:p w14:paraId="10000000">
            <w:pPr>
              <w:widowControl w:val="1"/>
              <w:spacing w:line="240" w:lineRule="exact"/>
              <w:ind w:left="31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Лакоте В.С.</w:t>
            </w:r>
          </w:p>
          <w:p w14:paraId="11000000">
            <w:pPr>
              <w:widowControl w:val="1"/>
              <w:spacing w:line="240" w:lineRule="exact"/>
              <w:ind w:left="318"/>
              <w:jc w:val="both"/>
              <w:rPr>
                <w:rFonts w:ascii="Times New Roman" w:hAnsi="Times New Roman"/>
                <w:sz w:val="28"/>
              </w:rPr>
            </w:pPr>
          </w:p>
          <w:p w14:paraId="12000000">
            <w:pPr>
              <w:widowControl w:val="1"/>
              <w:spacing w:line="240" w:lineRule="exact"/>
              <w:ind w:left="318"/>
              <w:jc w:val="both"/>
              <w:rPr>
                <w:rFonts w:ascii="Times New Roman" w:hAnsi="Times New Roman"/>
                <w:sz w:val="28"/>
              </w:rPr>
            </w:pPr>
          </w:p>
          <w:p w14:paraId="13000000">
            <w:pPr>
              <w:widowControl w:val="1"/>
              <w:spacing w:line="240" w:lineRule="exact"/>
              <w:ind w:left="318"/>
              <w:rPr>
                <w:rFonts w:ascii="Times New Roman" w:hAnsi="Times New Roman"/>
                <w:sz w:val="28"/>
              </w:rPr>
            </w:pPr>
          </w:p>
        </w:tc>
      </w:tr>
    </w:tbl>
    <w:p w14:paraId="1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8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ПРОКУРАТУРА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РАЗЪЯСНЯЕТ</w:t>
      </w:r>
    </w:p>
    <w:p w14:paraId="19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A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</w:t>
      </w:r>
      <w:r>
        <w:rPr>
          <w:rFonts w:ascii="Times New Roman" w:hAnsi="Times New Roman"/>
          <w:b w:val="1"/>
          <w:sz w:val="28"/>
        </w:rPr>
        <w:t>Безопасность на воде</w:t>
      </w:r>
      <w:r>
        <w:rPr>
          <w:rFonts w:ascii="Times New Roman" w:hAnsi="Times New Roman"/>
          <w:b w:val="1"/>
          <w:sz w:val="28"/>
        </w:rPr>
        <w:t>»</w:t>
      </w:r>
    </w:p>
    <w:p w14:paraId="1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C000000">
      <w:pPr>
        <w:pStyle w:val="Style_2"/>
        <w:widowControl w:val="1"/>
        <w:spacing w:after="0" w:before="0"/>
        <w:ind w:firstLine="709"/>
        <w:jc w:val="both"/>
        <w:rPr>
          <w:sz w:val="28"/>
        </w:rPr>
      </w:pPr>
      <w:r>
        <w:rPr>
          <w:sz w:val="28"/>
        </w:rPr>
        <w:t>С наступлением летнего сезона</w:t>
      </w:r>
      <w:r>
        <w:rPr>
          <w:sz w:val="28"/>
        </w:rPr>
        <w:t xml:space="preserve"> жители нашего района и гости города стремятся к рекам, озерам, к берегам Финского залива. Однако при нахождении у водоемов необходимо соблюдать правила, которые помогут сделать безопасным Ваш досуг.</w:t>
      </w:r>
    </w:p>
    <w:p w14:paraId="1D000000">
      <w:pPr>
        <w:pStyle w:val="Style_2"/>
        <w:widowControl w:val="1"/>
        <w:spacing w:after="0" w:before="0"/>
        <w:ind w:firstLine="709"/>
        <w:jc w:val="both"/>
        <w:rPr>
          <w:sz w:val="28"/>
        </w:rPr>
      </w:pPr>
      <w:r>
        <w:rPr>
          <w:sz w:val="28"/>
        </w:rPr>
        <w:t>При купании в водоемах не заплывайте за установленные знаки и ограждения, не подплывайте близко к моторным лодкам и прочим плавательным средствам.</w:t>
      </w:r>
    </w:p>
    <w:p w14:paraId="1E000000">
      <w:pPr>
        <w:pStyle w:val="Style_2"/>
        <w:widowControl w:val="1"/>
        <w:spacing w:after="0" w:before="0"/>
        <w:ind w:firstLine="709"/>
        <w:jc w:val="both"/>
        <w:rPr>
          <w:sz w:val="28"/>
        </w:rPr>
      </w:pPr>
      <w:r>
        <w:rPr>
          <w:sz w:val="28"/>
        </w:rPr>
        <w:t>Категорически запрещено купание детей, в том числе на надувных матрацах, камерах и других плавательных средствах без присмотра родителей.</w:t>
      </w:r>
    </w:p>
    <w:p w14:paraId="1F000000">
      <w:pPr>
        <w:pStyle w:val="Style_2"/>
        <w:widowControl w:val="1"/>
        <w:spacing w:after="0" w:before="0"/>
        <w:ind w:firstLine="709"/>
        <w:jc w:val="both"/>
        <w:rPr>
          <w:sz w:val="28"/>
        </w:rPr>
      </w:pPr>
      <w:r>
        <w:rPr>
          <w:sz w:val="28"/>
        </w:rPr>
        <w:t>Во избежание несчастных случаев строго контролируйте нахождение своих детей в воде, разрешайте купание только в специально отведенных местах и только в присутствии взрослых.</w:t>
      </w:r>
    </w:p>
    <w:p w14:paraId="20000000">
      <w:pPr>
        <w:pStyle w:val="Style_2"/>
        <w:widowControl w:val="1"/>
        <w:spacing w:after="0" w:before="0"/>
        <w:ind w:firstLine="709"/>
        <w:jc w:val="both"/>
        <w:rPr>
          <w:sz w:val="28"/>
        </w:rPr>
      </w:pPr>
      <w:r>
        <w:rPr>
          <w:sz w:val="28"/>
        </w:rPr>
        <w:t xml:space="preserve"> Помните, что соблюдение мер безопасного поведения на воде поможет предупредить трагедию. </w:t>
      </w:r>
    </w:p>
    <w:p w14:paraId="21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22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23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Старший помощник </w:t>
      </w:r>
      <w:r>
        <w:rPr>
          <w:rFonts w:ascii="Times New Roman" w:hAnsi="Times New Roman"/>
          <w:sz w:val="28"/>
        </w:rPr>
        <w:t>прокурора района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                 </w:t>
      </w:r>
      <w:r>
        <w:rPr>
          <w:rFonts w:ascii="Times New Roman" w:hAnsi="Times New Roman"/>
          <w:sz w:val="28"/>
        </w:rPr>
        <w:t xml:space="preserve">       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О.И. Назарова</w:t>
      </w:r>
    </w:p>
    <w:sectPr>
      <w:pgSz w:h="16838" w:orient="portrait" w:w="11906"/>
      <w:pgMar w:bottom="1440" w:footer="0" w:gutter="0" w:header="0" w:left="1133" w:right="566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Balloon Text"/>
    <w:basedOn w:val="Style_3"/>
    <w:link w:val="Style_11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1_ch" w:type="character">
    <w:name w:val="Balloon Text"/>
    <w:basedOn w:val="Style_3_ch"/>
    <w:link w:val="Style_11"/>
    <w:rPr>
      <w:rFonts w:ascii="Tahoma" w:hAnsi="Tahoma"/>
      <w:sz w:val="16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basedOn w:val="Style_15"/>
    <w:link w:val="Style_14_ch"/>
    <w:rPr>
      <w:color w:themeColor="hyperlink" w:val="0000FF"/>
      <w:u w:val="single"/>
    </w:rPr>
  </w:style>
  <w:style w:styleId="Style_14_ch" w:type="character">
    <w:name w:val="Hyperlink"/>
    <w:basedOn w:val="Style_15_ch"/>
    <w:link w:val="Style_14"/>
    <w:rPr>
      <w:color w:themeColor="hyperlink"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" w:type="paragraph">
    <w:name w:val="Normal (Web)"/>
    <w:basedOn w:val="Style_3"/>
    <w:link w:val="Style_2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Normal (Web)"/>
    <w:basedOn w:val="Style_3_ch"/>
    <w:link w:val="Style_2"/>
    <w:rPr>
      <w:rFonts w:ascii="Times New Roman" w:hAnsi="Times New Roman"/>
      <w:sz w:val="24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1" w:type="table">
    <w:name w:val="Table Grid"/>
    <w:basedOn w:val="Style_2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2024-05-29T11:24:00Z</dcterms:created>
  <dcterms:modified xsi:type="dcterms:W3CDTF">2026-04-23T09:53:52Z</dcterms:modified>
</cp:coreProperties>
</file>